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/>
          <w:sz w:val="44"/>
        </w:rPr>
      </w:pPr>
      <w:bookmarkStart w:id="0" w:name="_GoBack"/>
      <w:bookmarkEnd w:id="0"/>
      <w:r>
        <w:rPr>
          <w:rFonts w:hint="eastAsia"/>
          <w:sz w:val="44"/>
        </w:rPr>
        <w:t>关于禁补资金、扶贫资金预算的说明</w:t>
      </w:r>
    </w:p>
    <w:p>
      <w:pPr>
        <w:spacing w:beforeLines="0" w:afterLines="0"/>
        <w:jc w:val="center"/>
        <w:rPr>
          <w:rFonts w:hint="eastAsia"/>
          <w:sz w:val="44"/>
        </w:rPr>
      </w:pPr>
    </w:p>
    <w:p>
      <w:pPr>
        <w:spacing w:beforeLines="0" w:afterLines="0"/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开发区·铁山区不涉及禁补资金。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lignTablesRowByRow/>
    <w:adjustLineHeightInTable/>
    <w:layoutTableRowsApart/>
    <w:doNotSnapToGridInCell/>
    <w:selectFldWithFirstOrLastChar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31D5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  <w:rPr>
      <w:rFonts w:hint="default"/>
      <w:sz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2021-01-25T08:48:16Z</dcterms:created>
  <dc:creator>Administrator</dc:creator>
  <cp:lastModifiedBy>Administrator</cp:lastModifiedBy>
  <dcterms:modified xsi:type="dcterms:W3CDTF">2021-01-25T08:48:34Z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