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600" w:lineRule="exact"/>
        <w:jc w:val="center"/>
        <w:rPr>
          <w:rFonts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国家税务总局黄石经济技术开发区</w:t>
      </w:r>
      <w:r>
        <w:rPr>
          <w:rFonts w:hint="eastAsia" w:ascii="方正小标宋简体" w:hAnsi="方正小标宋简体" w:eastAsia="方正小标宋简体" w:cs="方正小标宋简体"/>
          <w:color w:val="333333"/>
          <w:sz w:val="44"/>
          <w:szCs w:val="44"/>
          <w:lang w:val="en-US" w:eastAsia="zh-CN"/>
        </w:rPr>
        <w:t>·铁山区</w:t>
      </w:r>
      <w:r>
        <w:rPr>
          <w:rFonts w:hint="eastAsia" w:ascii="方正小标宋简体" w:hAnsi="方正小标宋简体" w:eastAsia="方正小标宋简体" w:cs="方正小标宋简体"/>
          <w:color w:val="333333"/>
          <w:sz w:val="44"/>
          <w:szCs w:val="44"/>
        </w:rPr>
        <w:t>税务局202</w:t>
      </w:r>
      <w:r>
        <w:rPr>
          <w:rFonts w:hint="eastAsia" w:ascii="方正小标宋简体" w:hAnsi="方正小标宋简体" w:eastAsia="方正小标宋简体" w:cs="方正小标宋简体"/>
          <w:color w:val="333333"/>
          <w:sz w:val="44"/>
          <w:szCs w:val="44"/>
          <w:lang w:val="en-US" w:eastAsia="zh-CN"/>
        </w:rPr>
        <w:t>3</w:t>
      </w:r>
      <w:r>
        <w:rPr>
          <w:rFonts w:hint="eastAsia" w:ascii="方正小标宋简体" w:hAnsi="方正小标宋简体" w:eastAsia="方正小标宋简体" w:cs="方正小标宋简体"/>
          <w:color w:val="333333"/>
          <w:sz w:val="44"/>
          <w:szCs w:val="44"/>
        </w:rPr>
        <w:t>年政府信息公开工作年度报告</w:t>
      </w:r>
    </w:p>
    <w:p>
      <w:pPr>
        <w:pStyle w:val="5"/>
        <w:widowControl/>
        <w:spacing w:line="600" w:lineRule="exact"/>
        <w:jc w:val="center"/>
        <w:rPr>
          <w:rFonts w:ascii="方正小标宋简体" w:hAnsi="方正小标宋简体" w:eastAsia="方正小标宋简体" w:cs="方正小标宋简体"/>
          <w:color w:val="333333"/>
          <w:sz w:val="44"/>
          <w:szCs w:val="44"/>
        </w:rPr>
      </w:pPr>
    </w:p>
    <w:p>
      <w:pPr>
        <w:pStyle w:val="5"/>
        <w:widowControl/>
        <w:spacing w:line="500" w:lineRule="exact"/>
        <w:ind w:firstLine="643" w:firstLineChars="200"/>
        <w:jc w:val="both"/>
        <w:rPr>
          <w:rFonts w:ascii="黑体" w:hAnsi="黑体" w:eastAsia="黑体" w:cs="黑体"/>
          <w:sz w:val="32"/>
          <w:szCs w:val="32"/>
        </w:rPr>
      </w:pPr>
      <w:r>
        <w:rPr>
          <w:rFonts w:hint="eastAsia" w:ascii="黑体" w:hAnsi="黑体" w:eastAsia="黑体" w:cs="黑体"/>
          <w:b/>
          <w:color w:val="333333"/>
          <w:sz w:val="32"/>
          <w:szCs w:val="32"/>
        </w:rPr>
        <w:t>一、总体情况</w:t>
      </w:r>
    </w:p>
    <w:p>
      <w:pPr>
        <w:pStyle w:val="2"/>
        <w:adjustRightInd w:val="0"/>
        <w:snapToGrid w:val="0"/>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年，国家税务总局黄石经济技术开发区</w:t>
      </w:r>
      <w:r>
        <w:rPr>
          <w:rFonts w:hint="eastAsia" w:ascii="仿宋_GB2312" w:hAnsi="仿宋_GB2312" w:eastAsia="仿宋_GB2312" w:cs="仿宋_GB2312"/>
          <w:color w:val="000000"/>
          <w:kern w:val="0"/>
          <w:sz w:val="32"/>
          <w:szCs w:val="32"/>
          <w:lang w:val="en-US" w:eastAsia="zh-CN"/>
        </w:rPr>
        <w:t>·铁山区</w:t>
      </w:r>
      <w:r>
        <w:rPr>
          <w:rFonts w:hint="eastAsia" w:ascii="仿宋_GB2312" w:hAnsi="仿宋_GB2312" w:eastAsia="仿宋_GB2312" w:cs="仿宋_GB2312"/>
          <w:color w:val="000000"/>
          <w:kern w:val="0"/>
          <w:sz w:val="32"/>
          <w:szCs w:val="32"/>
        </w:rPr>
        <w:t>税务局深入学习贯彻落实《中华人民共和国政府信息公开条例》</w:t>
      </w: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3</w:t>
      </w:r>
      <w:r>
        <w:rPr>
          <w:rFonts w:hint="eastAsia" w:ascii="仿宋_GB2312" w:hAnsi="仿宋_GB2312" w:eastAsia="仿宋_GB2312" w:cs="仿宋_GB2312"/>
          <w:color w:val="333333"/>
          <w:sz w:val="32"/>
          <w:szCs w:val="32"/>
        </w:rPr>
        <w:t>年全</w:t>
      </w:r>
      <w:r>
        <w:rPr>
          <w:rFonts w:hint="eastAsia" w:ascii="仿宋_GB2312" w:hAnsi="仿宋_GB2312" w:eastAsia="仿宋_GB2312" w:cs="仿宋_GB2312"/>
          <w:color w:val="333333"/>
          <w:sz w:val="32"/>
          <w:szCs w:val="32"/>
          <w:lang w:eastAsia="zh-CN"/>
        </w:rPr>
        <w:t>国</w:t>
      </w:r>
      <w:r>
        <w:rPr>
          <w:rFonts w:hint="eastAsia" w:ascii="仿宋_GB2312" w:hAnsi="仿宋_GB2312" w:eastAsia="仿宋_GB2312" w:cs="仿宋_GB2312"/>
          <w:color w:val="333333"/>
          <w:sz w:val="32"/>
          <w:szCs w:val="32"/>
        </w:rPr>
        <w:t>税务系统政务公开重点任务清单》</w:t>
      </w:r>
      <w:r>
        <w:rPr>
          <w:rFonts w:hint="eastAsia" w:ascii="仿宋_GB2312" w:hAnsi="仿宋_GB2312" w:eastAsia="仿宋_GB2312" w:cs="仿宋_GB2312"/>
          <w:color w:val="333333"/>
          <w:sz w:val="32"/>
          <w:szCs w:val="32"/>
          <w:lang w:eastAsia="zh-CN"/>
        </w:rPr>
        <w:t>等</w:t>
      </w:r>
      <w:r>
        <w:rPr>
          <w:rFonts w:hint="eastAsia" w:ascii="仿宋_GB2312" w:hAnsi="仿宋_GB2312" w:eastAsia="仿宋_GB2312" w:cs="仿宋_GB2312"/>
          <w:color w:val="000000"/>
          <w:kern w:val="0"/>
          <w:sz w:val="32"/>
          <w:szCs w:val="32"/>
        </w:rPr>
        <w:t>文件精神，按照国家总局黄石市税务局、开发区·铁山区决策部署，结合工作实际，加强政务公开，</w:t>
      </w:r>
      <w:r>
        <w:rPr>
          <w:rFonts w:hint="eastAsia" w:ascii="仿宋_GB2312" w:hAnsi="仿宋_GB2312" w:eastAsia="仿宋_GB2312" w:cs="仿宋_GB2312"/>
          <w:sz w:val="32"/>
          <w:szCs w:val="32"/>
        </w:rPr>
        <w:t>完善工作机制，不断推进标准化规范化管理，有效提升政务公开水平。</w:t>
      </w:r>
    </w:p>
    <w:p>
      <w:pPr>
        <w:pStyle w:val="2"/>
        <w:adjustRightInd w:val="0"/>
        <w:snapToGrid w:val="0"/>
        <w:spacing w:line="500" w:lineRule="exact"/>
        <w:ind w:firstLine="643" w:firstLineChars="200"/>
        <w:rPr>
          <w:rFonts w:ascii="仿宋_GB2312" w:hAnsi="仿宋_GB2312" w:eastAsia="仿宋_GB2312" w:cs="仿宋_GB2312"/>
          <w:sz w:val="32"/>
          <w:szCs w:val="32"/>
        </w:rPr>
      </w:pPr>
      <w:r>
        <w:rPr>
          <w:rFonts w:hint="eastAsia" w:ascii="楷体_GB2312" w:hAnsi="黑体" w:eastAsia="楷体_GB2312" w:cs="黑体"/>
          <w:b/>
          <w:sz w:val="32"/>
          <w:szCs w:val="32"/>
        </w:rPr>
        <w:t>（一）主动公开方面，落实要求，主动公开。</w:t>
      </w:r>
      <w:r>
        <w:rPr>
          <w:rFonts w:hint="eastAsia" w:ascii="仿宋_GB2312" w:hAnsi="仿宋_GB2312" w:eastAsia="仿宋_GB2312" w:cs="仿宋_GB2312"/>
          <w:color w:val="000000"/>
          <w:kern w:val="0"/>
          <w:sz w:val="32"/>
          <w:szCs w:val="32"/>
        </w:rPr>
        <w:t>坚持以“公开为常态、不公开为例外”原则，</w:t>
      </w:r>
      <w:r>
        <w:rPr>
          <w:rFonts w:ascii="仿宋_GB2312" w:hAnsi="仿宋_GB2312" w:eastAsia="仿宋_GB2312" w:cs="仿宋_GB2312"/>
          <w:color w:val="333333"/>
          <w:sz w:val="32"/>
          <w:szCs w:val="32"/>
        </w:rPr>
        <w:t>主动把政务公开要求贯穿于税收工作全过程，推动税收营商环境持续优化，服务“六稳”“六保”</w:t>
      </w:r>
      <w:r>
        <w:rPr>
          <w:rFonts w:hint="eastAsia" w:ascii="仿宋_GB2312" w:hAnsi="仿宋_GB2312" w:eastAsia="仿宋_GB2312" w:cs="仿宋_GB2312"/>
          <w:color w:val="333333"/>
          <w:sz w:val="32"/>
          <w:szCs w:val="32"/>
        </w:rPr>
        <w:t>工作</w:t>
      </w:r>
      <w:r>
        <w:rPr>
          <w:rFonts w:ascii="仿宋_GB2312" w:hAnsi="仿宋_GB2312" w:eastAsia="仿宋_GB2312" w:cs="仿宋_GB2312"/>
          <w:color w:val="333333"/>
          <w:sz w:val="32"/>
          <w:szCs w:val="32"/>
        </w:rPr>
        <w:t>大局。</w:t>
      </w:r>
      <w:r>
        <w:rPr>
          <w:rFonts w:hint="eastAsia" w:ascii="仿宋_GB2312" w:hAnsi="仿宋_GB2312" w:eastAsia="仿宋_GB2312" w:cs="仿宋_GB2312"/>
          <w:color w:val="000000"/>
          <w:kern w:val="0"/>
          <w:sz w:val="32"/>
          <w:szCs w:val="32"/>
        </w:rPr>
        <w:t>紧紧围绕税收中心工作及社会关切，加大政府信息公开力度，202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年对外公告了办公地址、联系电话、邮政编码以及办税服务场所，通过</w:t>
      </w:r>
      <w:r>
        <w:rPr>
          <w:rFonts w:hint="eastAsia" w:ascii="仿宋_GB2312" w:hAnsi="仿宋_GB2312" w:eastAsia="仿宋_GB2312" w:cs="仿宋_GB2312"/>
          <w:color w:val="000000"/>
          <w:kern w:val="0"/>
          <w:sz w:val="32"/>
          <w:szCs w:val="32"/>
          <w:lang w:eastAsia="zh-CN"/>
        </w:rPr>
        <w:t>黄石市税务局</w:t>
      </w:r>
      <w:r>
        <w:rPr>
          <w:rFonts w:hint="eastAsia" w:ascii="仿宋_GB2312" w:hAnsi="仿宋_GB2312" w:eastAsia="仿宋_GB2312" w:cs="仿宋_GB2312"/>
          <w:color w:val="000000"/>
          <w:kern w:val="0"/>
          <w:sz w:val="32"/>
          <w:szCs w:val="32"/>
        </w:rPr>
        <w:t>门户网站、办税服务厅公告栏和液晶显示屏、行政执法平台公开各项政策法规、欠税公告、行政许可、行政处罚等信息；</w:t>
      </w:r>
      <w:r>
        <w:rPr>
          <w:rFonts w:hint="eastAsia" w:ascii="仿宋_GB2312" w:hAnsi="仿宋_GB2312" w:eastAsia="仿宋_GB2312" w:cs="仿宋_GB2312"/>
          <w:sz w:val="32"/>
          <w:szCs w:val="32"/>
        </w:rPr>
        <w:t>在中国税务报、湖北日报、荆楚网以及“黄石税务”微信公众号等新媒体发布税收宣传</w:t>
      </w:r>
      <w:r>
        <w:rPr>
          <w:rFonts w:hint="eastAsia" w:ascii="仿宋_GB2312" w:hAnsi="仿宋_GB2312" w:eastAsia="仿宋_GB2312" w:cs="仿宋_GB2312"/>
          <w:sz w:val="32"/>
          <w:szCs w:val="32"/>
          <w:lang w:val="en-US" w:eastAsia="zh-CN"/>
        </w:rPr>
        <w:t>169</w:t>
      </w:r>
      <w:r>
        <w:rPr>
          <w:rFonts w:hint="eastAsia" w:ascii="仿宋_GB2312" w:hAnsi="仿宋_GB2312" w:eastAsia="仿宋_GB2312" w:cs="仿宋_GB2312"/>
          <w:sz w:val="32"/>
          <w:szCs w:val="32"/>
        </w:rPr>
        <w:t>篇。</w:t>
      </w:r>
    </w:p>
    <w:p>
      <w:pPr>
        <w:widowControl/>
        <w:spacing w:line="500" w:lineRule="exact"/>
        <w:ind w:firstLine="643" w:firstLineChars="200"/>
        <w:rPr>
          <w:rFonts w:hint="default" w:ascii="仿宋_GB2312" w:hAnsi="仿宋_GB2312" w:eastAsia="仿宋_GB2312" w:cs="仿宋_GB2312"/>
          <w:color w:val="333333"/>
          <w:sz w:val="32"/>
          <w:szCs w:val="32"/>
          <w:lang w:val="en-US" w:eastAsia="zh-CN"/>
        </w:rPr>
      </w:pPr>
      <w:r>
        <w:rPr>
          <w:rFonts w:hint="eastAsia" w:ascii="楷体_GB2312" w:hAnsi="黑体" w:eastAsia="楷体_GB2312" w:cs="黑体"/>
          <w:b/>
          <w:sz w:val="32"/>
          <w:szCs w:val="32"/>
        </w:rPr>
        <w:t>（二）依申请公开方面，坚持原则，规范程序</w:t>
      </w:r>
      <w:r>
        <w:rPr>
          <w:rFonts w:hint="eastAsia" w:ascii="仿宋_GB2312" w:hAnsi="仿宋_GB2312" w:eastAsia="仿宋_GB2312" w:cs="仿宋_GB2312"/>
          <w:b/>
          <w:color w:val="333333"/>
          <w:sz w:val="32"/>
          <w:szCs w:val="32"/>
        </w:rPr>
        <w:t>。</w:t>
      </w:r>
      <w:r>
        <w:rPr>
          <w:rFonts w:hint="eastAsia" w:ascii="仿宋_GB2312" w:hAnsi="仿宋_GB2312" w:eastAsia="仿宋_GB2312" w:cs="仿宋_GB2312"/>
          <w:color w:val="333333"/>
          <w:sz w:val="32"/>
          <w:szCs w:val="32"/>
        </w:rPr>
        <w:t>通过国家税务总局黄石经济技术开发区</w:t>
      </w:r>
      <w:r>
        <w:rPr>
          <w:rFonts w:hint="eastAsia" w:ascii="仿宋_GB2312" w:hAnsi="仿宋_GB2312" w:eastAsia="仿宋_GB2312" w:cs="仿宋_GB2312"/>
          <w:color w:val="333333"/>
          <w:sz w:val="32"/>
          <w:szCs w:val="32"/>
          <w:lang w:val="en-US" w:eastAsia="zh-CN"/>
        </w:rPr>
        <w:t>·铁山区</w:t>
      </w:r>
      <w:r>
        <w:rPr>
          <w:rFonts w:hint="eastAsia" w:ascii="仿宋_GB2312" w:hAnsi="仿宋_GB2312" w:eastAsia="仿宋_GB2312" w:cs="仿宋_GB2312"/>
          <w:color w:val="333333"/>
          <w:sz w:val="32"/>
          <w:szCs w:val="32"/>
        </w:rPr>
        <w:t>税务局政府信息公开指南列明申请接收渠道，建立政府信息公开申请登记、审核、办理、答复、归档等工作制度及办理流程，建立政府信息公开申请登记台账，对办理环节予以登记，不断提高政府信息公开申请办理水平。</w:t>
      </w:r>
      <w:r>
        <w:rPr>
          <w:rFonts w:hint="eastAsia" w:ascii="仿宋_GB2312" w:hAnsi="仿宋_GB2312" w:eastAsia="仿宋_GB2312" w:cs="仿宋_GB2312"/>
          <w:color w:val="333333"/>
          <w:sz w:val="32"/>
          <w:szCs w:val="32"/>
          <w:lang w:val="en-US" w:eastAsia="zh-CN"/>
        </w:rPr>
        <w:t>2023年区局没有收到和处理政府信息公开申请。</w:t>
      </w:r>
    </w:p>
    <w:p>
      <w:pPr>
        <w:widowControl/>
        <w:spacing w:line="50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黑体" w:eastAsia="楷体_GB2312" w:cs="黑体"/>
          <w:b/>
          <w:sz w:val="32"/>
          <w:szCs w:val="32"/>
        </w:rPr>
        <w:t>（三）政府信息管理方面，严格审核，规范管理</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color w:val="000000"/>
          <w:kern w:val="0"/>
          <w:sz w:val="32"/>
          <w:szCs w:val="32"/>
        </w:rPr>
        <w:t>明确规范政府信息公开工作领导小组和相关部门工作职责，严格执行政府信息公开审查制度和公文公开审核制度，坚持“先审查、后公开”原则，依照《中华人民共和国保守国家秘密法》以及其他法律、法规和国家有关规定对拟公开的政府信息进行审查，努力做到应公开尽公开。</w:t>
      </w:r>
    </w:p>
    <w:p>
      <w:pPr>
        <w:widowControl/>
        <w:spacing w:line="500" w:lineRule="exact"/>
        <w:ind w:firstLine="643" w:firstLineChars="200"/>
        <w:rPr>
          <w:rFonts w:ascii="仿宋_GB2312" w:hAnsi="仿宋_GB2312" w:eastAsia="仿宋_GB2312" w:cs="仿宋_GB2312"/>
          <w:color w:val="000000"/>
          <w:kern w:val="0"/>
          <w:sz w:val="32"/>
          <w:szCs w:val="32"/>
        </w:rPr>
      </w:pPr>
      <w:r>
        <w:rPr>
          <w:rFonts w:hint="eastAsia" w:ascii="楷体_GB2312" w:hAnsi="黑体" w:eastAsia="楷体_GB2312" w:cs="黑体"/>
          <w:b/>
          <w:sz w:val="32"/>
          <w:szCs w:val="32"/>
        </w:rPr>
        <w:t>（四）平台建设方面，及时维护，按时发布</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color w:val="000000"/>
          <w:kern w:val="0"/>
          <w:sz w:val="32"/>
          <w:szCs w:val="32"/>
        </w:rPr>
        <w:t>继续坚持把门户网站作为政府信息公开的第一平台，集中发布法定主动公开的政府信息；充分利用微信公众号等新媒体平台，及时宣传纳税人、缴费人关心的税费热点问题。根据上级要求，积极组织政务公开领导小组成员参加税务总局开展的政务公开专题培训，学习《税务系统政务公开操作规范》，不断加强政府信息公开平台管理，及时回复申请，充分保障公众的知情权、参与权和监督权。</w:t>
      </w:r>
    </w:p>
    <w:p>
      <w:pPr>
        <w:widowControl/>
        <w:spacing w:line="500" w:lineRule="exact"/>
        <w:ind w:firstLine="643" w:firstLineChars="200"/>
        <w:rPr>
          <w:rFonts w:hint="eastAsia" w:ascii="仿宋_GB2312" w:hAnsi="仿宋_GB2312" w:eastAsia="仿宋_GB2312" w:cs="仿宋_GB2312"/>
          <w:color w:val="000000"/>
          <w:kern w:val="0"/>
          <w:sz w:val="32"/>
          <w:szCs w:val="32"/>
        </w:rPr>
      </w:pPr>
      <w:r>
        <w:rPr>
          <w:rFonts w:hint="eastAsia" w:ascii="楷体_GB2312" w:hAnsi="黑体" w:eastAsia="楷体_GB2312" w:cs="黑体"/>
          <w:b/>
          <w:sz w:val="32"/>
          <w:szCs w:val="32"/>
        </w:rPr>
        <w:t>（五）监督保障方面，强化监督，严格问责。</w:t>
      </w:r>
      <w:r>
        <w:rPr>
          <w:rFonts w:hint="eastAsia" w:ascii="仿宋_GB2312" w:hAnsi="仿宋_GB2312" w:eastAsia="仿宋_GB2312" w:cs="仿宋_GB2312"/>
          <w:bCs/>
          <w:color w:val="000000"/>
          <w:kern w:val="0"/>
          <w:sz w:val="32"/>
          <w:szCs w:val="32"/>
        </w:rPr>
        <w:t>按规定时间在门户网站发布政府信息公开年度报告，</w:t>
      </w:r>
      <w:r>
        <w:rPr>
          <w:rFonts w:hint="eastAsia" w:ascii="仿宋_GB2312" w:hAnsi="仿宋_GB2312" w:eastAsia="仿宋_GB2312" w:cs="仿宋_GB2312"/>
          <w:color w:val="000000"/>
          <w:kern w:val="0"/>
          <w:sz w:val="32"/>
          <w:szCs w:val="32"/>
        </w:rPr>
        <w:t>将</w:t>
      </w:r>
      <w:r>
        <w:rPr>
          <w:rFonts w:hint="eastAsia" w:ascii="仿宋_GB2312" w:hAnsi="仿宋_GB2312" w:eastAsia="仿宋_GB2312" w:cs="仿宋_GB2312"/>
          <w:bCs/>
          <w:color w:val="000000"/>
          <w:kern w:val="0"/>
          <w:sz w:val="32"/>
          <w:szCs w:val="32"/>
        </w:rPr>
        <w:t>政府信息公开、依申请公开</w:t>
      </w:r>
      <w:r>
        <w:rPr>
          <w:rFonts w:hint="eastAsia" w:ascii="仿宋_GB2312" w:hAnsi="仿宋_GB2312" w:eastAsia="仿宋_GB2312" w:cs="仿宋_GB2312"/>
          <w:color w:val="000000"/>
          <w:kern w:val="0"/>
          <w:sz w:val="32"/>
          <w:szCs w:val="32"/>
        </w:rPr>
        <w:t>等工作纳入202</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年绩效管理考评规则和考评指标，明确考核标准，细化考核指标，促进依法公开、规范公开、及时公开。增强风险意识，对法定不予公开的，属于内部工作的，以及定为依申请公开的政策文件，严格保密要求，做好信息保密工作。</w:t>
      </w:r>
    </w:p>
    <w:p>
      <w:pPr>
        <w:widowControl/>
        <w:spacing w:line="500" w:lineRule="exact"/>
        <w:ind w:firstLine="643" w:firstLineChars="200"/>
        <w:rPr>
          <w:rFonts w:ascii="黑体" w:hAnsi="黑体" w:eastAsia="黑体" w:cs="黑体"/>
          <w:sz w:val="32"/>
          <w:szCs w:val="32"/>
        </w:rPr>
      </w:pPr>
      <w:r>
        <w:rPr>
          <w:rFonts w:hint="eastAsia" w:ascii="黑体" w:hAnsi="黑体" w:eastAsia="黑体" w:cs="黑体"/>
          <w:b/>
          <w:color w:val="333333"/>
          <w:sz w:val="32"/>
          <w:szCs w:val="32"/>
        </w:rPr>
        <w:t>二、主动公开政府信息情况</w:t>
      </w:r>
    </w:p>
    <w:tbl>
      <w:tblPr>
        <w:tblStyle w:val="6"/>
        <w:tblW w:w="8140" w:type="dxa"/>
        <w:jc w:val="center"/>
        <w:tblLayout w:type="fixed"/>
        <w:tblCellMar>
          <w:top w:w="0" w:type="dxa"/>
          <w:left w:w="108" w:type="dxa"/>
          <w:bottom w:w="0" w:type="dxa"/>
          <w:right w:w="108" w:type="dxa"/>
        </w:tblCellMar>
      </w:tblPr>
      <w:tblGrid>
        <w:gridCol w:w="2456"/>
        <w:gridCol w:w="1896"/>
        <w:gridCol w:w="1907"/>
        <w:gridCol w:w="1881"/>
      </w:tblGrid>
      <w:tr>
        <w:tblPrEx>
          <w:tblCellMar>
            <w:top w:w="0" w:type="dxa"/>
            <w:left w:w="108" w:type="dxa"/>
            <w:bottom w:w="0" w:type="dxa"/>
            <w:right w:w="108" w:type="dxa"/>
          </w:tblCellMar>
        </w:tblPrEx>
        <w:trPr>
          <w:trHeight w:val="495"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第二十条第（一）项</w:t>
            </w:r>
          </w:p>
        </w:tc>
      </w:tr>
      <w:tr>
        <w:tblPrEx>
          <w:tblCellMar>
            <w:top w:w="0" w:type="dxa"/>
            <w:left w:w="108" w:type="dxa"/>
            <w:bottom w:w="0" w:type="dxa"/>
            <w:right w:w="108" w:type="dxa"/>
          </w:tblCellMar>
        </w:tblPrEx>
        <w:trPr>
          <w:trHeight w:val="508"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信息内容</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本年</w:t>
            </w:r>
            <w:r>
              <w:rPr>
                <w:rFonts w:hint="eastAsia" w:asciiTheme="minorEastAsia" w:hAnsiTheme="minorEastAsia" w:cstheme="minorEastAsia"/>
                <w:color w:val="333333"/>
                <w:kern w:val="0"/>
                <w:sz w:val="24"/>
              </w:rPr>
              <w:t>制作数量</w:t>
            </w:r>
          </w:p>
        </w:tc>
        <w:tc>
          <w:tcPr>
            <w:tcW w:w="19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本年废止</w:t>
            </w:r>
            <w:r>
              <w:rPr>
                <w:rFonts w:hint="eastAsia" w:asciiTheme="minorEastAsia" w:hAnsiTheme="minorEastAsia" w:cstheme="minorEastAsia"/>
                <w:color w:val="333333"/>
                <w:kern w:val="0"/>
                <w:sz w:val="24"/>
              </w:rPr>
              <w:t>数量</w:t>
            </w:r>
          </w:p>
        </w:tc>
        <w:tc>
          <w:tcPr>
            <w:tcW w:w="188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现行有效件数</w:t>
            </w:r>
          </w:p>
        </w:tc>
      </w:tr>
      <w:tr>
        <w:tblPrEx>
          <w:tblCellMar>
            <w:top w:w="0" w:type="dxa"/>
            <w:left w:w="108" w:type="dxa"/>
            <w:bottom w:w="0" w:type="dxa"/>
            <w:right w:w="108" w:type="dxa"/>
          </w:tblCellMar>
        </w:tblPrEx>
        <w:trPr>
          <w:trHeight w:val="523"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规章</w:t>
            </w:r>
          </w:p>
        </w:tc>
        <w:tc>
          <w:tcPr>
            <w:tcW w:w="189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c>
          <w:tcPr>
            <w:tcW w:w="1907"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c>
          <w:tcPr>
            <w:tcW w:w="188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r>
      <w:tr>
        <w:tblPrEx>
          <w:tblCellMar>
            <w:top w:w="0" w:type="dxa"/>
            <w:left w:w="108" w:type="dxa"/>
            <w:bottom w:w="0" w:type="dxa"/>
            <w:right w:w="108" w:type="dxa"/>
          </w:tblCellMar>
        </w:tblPrEx>
        <w:trPr>
          <w:trHeight w:val="471"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规范性文件</w:t>
            </w:r>
          </w:p>
        </w:tc>
        <w:tc>
          <w:tcPr>
            <w:tcW w:w="1896"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c>
          <w:tcPr>
            <w:tcW w:w="1907"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c>
          <w:tcPr>
            <w:tcW w:w="1881" w:type="dxa"/>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r>
      <w:tr>
        <w:tblPrEx>
          <w:tblCellMar>
            <w:top w:w="0" w:type="dxa"/>
            <w:left w:w="108" w:type="dxa"/>
            <w:bottom w:w="0" w:type="dxa"/>
            <w:right w:w="108" w:type="dxa"/>
          </w:tblCellMar>
        </w:tblPrEx>
        <w:trPr>
          <w:trHeight w:val="480"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第二十条第（五）项</w:t>
            </w:r>
          </w:p>
        </w:tc>
      </w:tr>
      <w:tr>
        <w:tblPrEx>
          <w:tblCellMar>
            <w:top w:w="0" w:type="dxa"/>
            <w:left w:w="108" w:type="dxa"/>
            <w:bottom w:w="0" w:type="dxa"/>
            <w:right w:w="108" w:type="dxa"/>
          </w:tblCellMar>
        </w:tblPrEx>
        <w:trPr>
          <w:trHeight w:val="574"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信息内容</w:t>
            </w:r>
          </w:p>
        </w:tc>
        <w:tc>
          <w:tcPr>
            <w:tcW w:w="568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本年处理决定数量</w:t>
            </w:r>
          </w:p>
        </w:tc>
      </w:tr>
      <w:tr>
        <w:tblPrEx>
          <w:tblCellMar>
            <w:top w:w="0" w:type="dxa"/>
            <w:left w:w="108" w:type="dxa"/>
            <w:bottom w:w="0" w:type="dxa"/>
            <w:right w:w="108" w:type="dxa"/>
          </w:tblCellMar>
        </w:tblPrEx>
        <w:trPr>
          <w:trHeight w:val="528"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行政许可</w:t>
            </w:r>
          </w:p>
        </w:tc>
        <w:tc>
          <w:tcPr>
            <w:tcW w:w="5684" w:type="dxa"/>
            <w:gridSpan w:val="3"/>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838</w:t>
            </w:r>
          </w:p>
        </w:tc>
      </w:tr>
      <w:tr>
        <w:tblPrEx>
          <w:tblCellMar>
            <w:top w:w="0" w:type="dxa"/>
            <w:left w:w="108" w:type="dxa"/>
            <w:bottom w:w="0" w:type="dxa"/>
            <w:right w:w="108" w:type="dxa"/>
          </w:tblCellMar>
        </w:tblPrEx>
        <w:trPr>
          <w:trHeight w:val="406"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第二十条第（六）项</w:t>
            </w:r>
          </w:p>
        </w:tc>
      </w:tr>
      <w:tr>
        <w:tblPrEx>
          <w:tblCellMar>
            <w:top w:w="0" w:type="dxa"/>
            <w:left w:w="108" w:type="dxa"/>
            <w:bottom w:w="0" w:type="dxa"/>
            <w:right w:w="108" w:type="dxa"/>
          </w:tblCellMar>
        </w:tblPrEx>
        <w:trPr>
          <w:trHeight w:val="502"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信息内容</w:t>
            </w:r>
          </w:p>
        </w:tc>
        <w:tc>
          <w:tcPr>
            <w:tcW w:w="568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本年处理决定数量</w:t>
            </w:r>
          </w:p>
        </w:tc>
      </w:tr>
      <w:tr>
        <w:tblPrEx>
          <w:tblCellMar>
            <w:top w:w="0" w:type="dxa"/>
            <w:left w:w="108" w:type="dxa"/>
            <w:bottom w:w="0" w:type="dxa"/>
            <w:right w:w="108" w:type="dxa"/>
          </w:tblCellMar>
        </w:tblPrEx>
        <w:trPr>
          <w:trHeight w:val="43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行政处罚</w:t>
            </w:r>
          </w:p>
        </w:tc>
        <w:tc>
          <w:tcPr>
            <w:tcW w:w="568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hint="default" w:asciiTheme="minorEastAsia" w:hAnsiTheme="minorEastAsia" w:eastAsiaTheme="minorEastAsia" w:cstheme="minorEastAsia"/>
                <w:sz w:val="24"/>
                <w:lang w:val="en-US" w:eastAsia="zh-CN"/>
              </w:rPr>
            </w:pPr>
            <w:r>
              <w:rPr>
                <w:rFonts w:hint="eastAsia" w:asciiTheme="minorEastAsia" w:hAnsiTheme="minorEastAsia" w:cstheme="minorEastAsia"/>
                <w:sz w:val="24"/>
                <w:lang w:val="en-US" w:eastAsia="zh-CN"/>
              </w:rPr>
              <w:t>149</w:t>
            </w:r>
          </w:p>
        </w:tc>
      </w:tr>
      <w:tr>
        <w:tblPrEx>
          <w:tblCellMar>
            <w:top w:w="0" w:type="dxa"/>
            <w:left w:w="108" w:type="dxa"/>
            <w:bottom w:w="0" w:type="dxa"/>
            <w:right w:w="108" w:type="dxa"/>
          </w:tblCellMar>
        </w:tblPrEx>
        <w:trPr>
          <w:trHeight w:val="409"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行政强制</w:t>
            </w:r>
          </w:p>
        </w:tc>
        <w:tc>
          <w:tcPr>
            <w:tcW w:w="5684" w:type="dxa"/>
            <w:gridSpan w:val="3"/>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r>
      <w:tr>
        <w:tblPrEx>
          <w:tblCellMar>
            <w:top w:w="0" w:type="dxa"/>
            <w:left w:w="108" w:type="dxa"/>
            <w:bottom w:w="0" w:type="dxa"/>
            <w:right w:w="108" w:type="dxa"/>
          </w:tblCellMar>
        </w:tblPrEx>
        <w:trPr>
          <w:trHeight w:val="474" w:hRule="atLeast"/>
          <w:jc w:val="center"/>
        </w:trPr>
        <w:tc>
          <w:tcPr>
            <w:tcW w:w="8140" w:type="dxa"/>
            <w:gridSpan w:val="4"/>
            <w:tcBorders>
              <w:top w:val="single" w:color="auto" w:sz="4" w:space="0"/>
              <w:left w:val="single" w:color="auto" w:sz="4" w:space="0"/>
              <w:bottom w:val="single" w:color="auto" w:sz="4" w:space="0"/>
              <w:right w:val="single" w:color="auto" w:sz="4" w:space="0"/>
            </w:tcBorders>
            <w:shd w:val="clear" w:color="auto" w:fill="C6D9F1"/>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第二十条第（八）项</w:t>
            </w:r>
          </w:p>
        </w:tc>
      </w:tr>
      <w:tr>
        <w:tblPrEx>
          <w:tblCellMar>
            <w:top w:w="0" w:type="dxa"/>
            <w:left w:w="108" w:type="dxa"/>
            <w:bottom w:w="0" w:type="dxa"/>
            <w:right w:w="108" w:type="dxa"/>
          </w:tblCellMar>
        </w:tblPrEx>
        <w:trPr>
          <w:trHeight w:val="270"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信息内容</w:t>
            </w:r>
          </w:p>
        </w:tc>
        <w:tc>
          <w:tcPr>
            <w:tcW w:w="5684" w:type="dxa"/>
            <w:gridSpan w:val="3"/>
            <w:tcBorders>
              <w:top w:val="nil"/>
              <w:left w:val="nil"/>
              <w:bottom w:val="single" w:color="auto" w:sz="4" w:space="0"/>
              <w:right w:val="single" w:color="000000"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sz w:val="24"/>
              </w:rPr>
              <w:t>本年收费金额（单位：万元）</w:t>
            </w:r>
          </w:p>
        </w:tc>
      </w:tr>
      <w:tr>
        <w:tblPrEx>
          <w:tblCellMar>
            <w:top w:w="0" w:type="dxa"/>
            <w:left w:w="108" w:type="dxa"/>
            <w:bottom w:w="0" w:type="dxa"/>
            <w:right w:w="108" w:type="dxa"/>
          </w:tblCellMar>
        </w:tblPrEx>
        <w:trPr>
          <w:trHeight w:val="551" w:hRule="atLeast"/>
          <w:jc w:val="center"/>
        </w:trPr>
        <w:tc>
          <w:tcPr>
            <w:tcW w:w="2456" w:type="dxa"/>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行政事业性收费</w:t>
            </w:r>
          </w:p>
        </w:tc>
        <w:tc>
          <w:tcPr>
            <w:tcW w:w="5684" w:type="dxa"/>
            <w:gridSpan w:val="3"/>
            <w:tcBorders>
              <w:top w:val="nil"/>
              <w:left w:val="nil"/>
              <w:bottom w:val="single" w:color="auto" w:sz="4" w:space="0"/>
              <w:right w:val="single" w:color="000000"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r>
    </w:tbl>
    <w:p>
      <w:pPr>
        <w:pStyle w:val="5"/>
        <w:widowControl/>
        <w:spacing w:line="500" w:lineRule="exact"/>
        <w:ind w:firstLine="640" w:firstLineChars="200"/>
        <w:jc w:val="both"/>
        <w:rPr>
          <w:rFonts w:ascii="黑体" w:hAnsi="黑体" w:eastAsia="黑体" w:cs="黑体"/>
          <w:bCs/>
          <w:color w:val="333333"/>
          <w:sz w:val="32"/>
          <w:szCs w:val="32"/>
        </w:rPr>
      </w:pPr>
      <w:r>
        <w:rPr>
          <w:rFonts w:hint="eastAsia" w:ascii="黑体" w:hAnsi="黑体" w:eastAsia="黑体" w:cs="黑体"/>
          <w:bCs/>
          <w:color w:val="333333"/>
          <w:sz w:val="32"/>
          <w:szCs w:val="32"/>
        </w:rPr>
        <w:t>三、收到和处理政府信息公开申请情况</w:t>
      </w:r>
    </w:p>
    <w:tbl>
      <w:tblPr>
        <w:tblStyle w:val="6"/>
        <w:tblW w:w="9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731"/>
        <w:gridCol w:w="2700"/>
        <w:gridCol w:w="636"/>
        <w:gridCol w:w="732"/>
        <w:gridCol w:w="780"/>
        <w:gridCol w:w="864"/>
        <w:gridCol w:w="708"/>
        <w:gridCol w:w="732"/>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asciiTheme="minorEastAsia" w:hAnsiTheme="minorEastAsia" w:cstheme="minorEastAsia"/>
                <w:sz w:val="24"/>
              </w:rPr>
            </w:pPr>
            <w:r>
              <w:rPr>
                <w:rFonts w:hint="eastAsia" w:ascii="楷体_GB2312" w:hAnsi="楷体_GB2312" w:eastAsia="楷体_GB2312" w:cs="楷体_GB2312"/>
                <w:color w:val="333333"/>
                <w:sz w:val="24"/>
              </w:rPr>
              <w:t>（本列数据的勾稽关系为：第一项加第二项之和，等于第三项加第四项之和）</w:t>
            </w:r>
          </w:p>
        </w:tc>
        <w:tc>
          <w:tcPr>
            <w:tcW w:w="5217"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636" w:type="dxa"/>
            <w:vMerge w:val="restar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自然人</w:t>
            </w:r>
          </w:p>
        </w:tc>
        <w:tc>
          <w:tcPr>
            <w:tcW w:w="3816"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法人或其他组织</w:t>
            </w:r>
          </w:p>
        </w:tc>
        <w:tc>
          <w:tcPr>
            <w:tcW w:w="765"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174"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636"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商业企业</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科研机构</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社会公益组织</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法律服务机构</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其他</w:t>
            </w:r>
          </w:p>
        </w:tc>
        <w:tc>
          <w:tcPr>
            <w:tcW w:w="765" w:type="dxa"/>
            <w:vMerge w:val="continue"/>
            <w:tcBorders>
              <w:top w:val="single" w:color="auto" w:sz="4" w:space="0"/>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一、本年新收政府信息公开申请数量</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二、上年结转政府信息公开申请数量</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三、本年度办理结果</w:t>
            </w:r>
          </w:p>
        </w:tc>
        <w:tc>
          <w:tcPr>
            <w:tcW w:w="34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（一）予以公开</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34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（二）部分公开（区分处理的，只计这一情形，不计其他情形）</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restart"/>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（三）不予公开</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1.属于国家秘密</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2.其他法律行政法规禁止公开</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3.危及“三安全一稳定”</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4.保护第三方合法权益</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5.属于三类内部事务信息</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6.属于四类过程性信息</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7.属于行政执法案卷</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8.属于行政查询事项</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restart"/>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（四）无法提供</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1.本机关不掌握相关政府信息</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2.没有现成信息需要另行制作</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3.补正后申请内容仍不明确</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restart"/>
            <w:tcBorders>
              <w:top w:val="nil"/>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（五）不予处理</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1.信访举报投诉类申请</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2.重复申请</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3.要求提供公开出版物</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4.无正当理由大量反复申请</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5.要求行政机关确认或重新出具已获取信息</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731" w:type="dxa"/>
            <w:vMerge w:val="restart"/>
            <w:tcBorders>
              <w:top w:val="single" w:color="auto" w:sz="4" w:space="0"/>
              <w:left w:val="nil"/>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（六）其他处理</w:t>
            </w: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color w:val="333333"/>
                <w:sz w:val="24"/>
              </w:rPr>
            </w:pPr>
            <w:r>
              <w:rPr>
                <w:rFonts w:hint="eastAsia" w:asciiTheme="minorEastAsia" w:hAnsiTheme="minorEastAsia" w:cstheme="minorEastAsia"/>
                <w:color w:val="333333"/>
                <w:sz w:val="24"/>
              </w:rPr>
              <w:t>1.申请人无正当理由逾期不补正、行政机关不再处理其政府信息公开申请</w:t>
            </w:r>
          </w:p>
        </w:tc>
        <w:tc>
          <w:tcPr>
            <w:tcW w:w="636"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left w:val="single" w:color="auto" w:sz="4" w:space="0"/>
              <w:bottom w:val="single" w:color="auto" w:sz="4" w:space="0"/>
              <w:right w:val="single" w:color="auto" w:sz="4" w:space="0"/>
            </w:tcBorders>
            <w:shd w:val="clear" w:color="auto" w:fill="auto"/>
            <w:vAlign w:val="center"/>
          </w:tcPr>
          <w:p>
            <w:pPr>
              <w:widowControl/>
              <w:spacing w:line="500" w:lineRule="exact"/>
              <w:jc w:val="left"/>
            </w:pPr>
          </w:p>
        </w:tc>
        <w:tc>
          <w:tcPr>
            <w:tcW w:w="731" w:type="dxa"/>
            <w:vMerge w:val="continue"/>
            <w:tcBorders>
              <w:left w:val="nil"/>
              <w:right w:val="single" w:color="auto" w:sz="4" w:space="0"/>
            </w:tcBorders>
            <w:shd w:val="clear" w:color="auto" w:fill="auto"/>
            <w:vAlign w:val="center"/>
          </w:tcPr>
          <w:p>
            <w:pPr>
              <w:widowControl/>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color w:val="333333"/>
                <w:sz w:val="24"/>
              </w:rPr>
            </w:pPr>
            <w:r>
              <w:rPr>
                <w:rFonts w:hint="eastAsia" w:asciiTheme="minorEastAsia" w:hAnsiTheme="minorEastAsia" w:cstheme="minorEastAsia"/>
                <w:color w:val="333333"/>
                <w:sz w:val="24"/>
              </w:rPr>
              <w:t>2.申请人逾期未按收费通知要求缴纳费用、行政机关不再处理其政府信息公开申请</w:t>
            </w:r>
          </w:p>
        </w:tc>
        <w:tc>
          <w:tcPr>
            <w:tcW w:w="636"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32"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80"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864"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08"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32"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65"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left w:val="single" w:color="auto" w:sz="4" w:space="0"/>
              <w:bottom w:val="single" w:color="auto" w:sz="4" w:space="0"/>
              <w:right w:val="single" w:color="auto" w:sz="4" w:space="0"/>
            </w:tcBorders>
            <w:shd w:val="clear" w:color="auto" w:fill="auto"/>
            <w:vAlign w:val="center"/>
          </w:tcPr>
          <w:p>
            <w:pPr>
              <w:widowControl/>
              <w:spacing w:line="500" w:lineRule="exact"/>
              <w:jc w:val="left"/>
            </w:pPr>
          </w:p>
        </w:tc>
        <w:tc>
          <w:tcPr>
            <w:tcW w:w="731" w:type="dxa"/>
            <w:vMerge w:val="continue"/>
            <w:tcBorders>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color w:val="333333"/>
                <w:sz w:val="24"/>
              </w:rPr>
            </w:pPr>
          </w:p>
        </w:tc>
        <w:tc>
          <w:tcPr>
            <w:tcW w:w="270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color w:val="333333"/>
                <w:sz w:val="24"/>
              </w:rPr>
            </w:pPr>
            <w:r>
              <w:rPr>
                <w:rFonts w:hint="eastAsia" w:asciiTheme="minorEastAsia" w:hAnsiTheme="minorEastAsia" w:cstheme="minorEastAsia"/>
                <w:color w:val="333333"/>
                <w:sz w:val="24"/>
              </w:rPr>
              <w:t>3.其他</w:t>
            </w:r>
          </w:p>
        </w:tc>
        <w:tc>
          <w:tcPr>
            <w:tcW w:w="636"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32"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80"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864"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08"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32"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c>
          <w:tcPr>
            <w:tcW w:w="765" w:type="dxa"/>
            <w:tcBorders>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3431"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（七）总计</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left"/>
              <w:rPr>
                <w:rFonts w:asciiTheme="minorEastAsia" w:hAnsiTheme="minorEastAsia" w:cstheme="minorEastAsia"/>
                <w:sz w:val="24"/>
              </w:rPr>
            </w:pPr>
            <w:r>
              <w:rPr>
                <w:rFonts w:hint="eastAsia" w:asciiTheme="minorEastAsia" w:hAnsiTheme="minorEastAsia" w:cstheme="minorEastAsia"/>
                <w:color w:val="333333"/>
                <w:sz w:val="24"/>
              </w:rPr>
              <w:t>四、结转下年度继续办理</w:t>
            </w:r>
          </w:p>
        </w:tc>
        <w:tc>
          <w:tcPr>
            <w:tcW w:w="63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8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86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32"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765"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r>
    </w:tbl>
    <w:p>
      <w:pPr>
        <w:pStyle w:val="5"/>
        <w:widowControl/>
        <w:spacing w:line="500" w:lineRule="exact"/>
        <w:ind w:firstLine="640" w:firstLineChars="200"/>
        <w:jc w:val="both"/>
        <w:rPr>
          <w:rFonts w:ascii="黑体" w:hAnsi="黑体" w:eastAsia="黑体" w:cs="黑体"/>
          <w:bCs/>
          <w:sz w:val="32"/>
          <w:szCs w:val="32"/>
        </w:rPr>
      </w:pPr>
      <w:r>
        <w:rPr>
          <w:rFonts w:hint="eastAsia" w:ascii="黑体" w:hAnsi="黑体" w:eastAsia="黑体" w:cs="黑体"/>
          <w:bCs/>
          <w:color w:val="333333"/>
          <w:sz w:val="32"/>
          <w:szCs w:val="32"/>
        </w:rPr>
        <w:t>四、政府信息公开行政复议、行政诉讼情况</w:t>
      </w:r>
    </w:p>
    <w:tbl>
      <w:tblPr>
        <w:tblStyle w:val="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074"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行政复议</w:t>
            </w:r>
          </w:p>
        </w:tc>
        <w:tc>
          <w:tcPr>
            <w:tcW w:w="5997" w:type="dxa"/>
            <w:gridSpan w:val="10"/>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结果维持</w:t>
            </w:r>
          </w:p>
        </w:tc>
        <w:tc>
          <w:tcPr>
            <w:tcW w:w="604" w:type="dxa"/>
            <w:vMerge w:val="restart"/>
            <w:tcBorders>
              <w:top w:val="nil"/>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结果纠正</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其他结果</w:t>
            </w:r>
          </w:p>
        </w:tc>
        <w:tc>
          <w:tcPr>
            <w:tcW w:w="604"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尚未审结</w:t>
            </w:r>
          </w:p>
        </w:tc>
        <w:tc>
          <w:tcPr>
            <w:tcW w:w="658" w:type="dxa"/>
            <w:vMerge w:val="restart"/>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总计</w:t>
            </w:r>
          </w:p>
        </w:tc>
        <w:tc>
          <w:tcPr>
            <w:tcW w:w="2970"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未经复议直接起诉</w:t>
            </w:r>
          </w:p>
        </w:tc>
        <w:tc>
          <w:tcPr>
            <w:tcW w:w="302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vMerge w:val="continue"/>
            <w:tcBorders>
              <w:top w:val="nil"/>
              <w:left w:val="single" w:color="auto" w:sz="4" w:space="0"/>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604" w:type="dxa"/>
            <w:vMerge w:val="continue"/>
            <w:tcBorders>
              <w:top w:val="nil"/>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604" w:type="dxa"/>
            <w:vMerge w:val="continue"/>
            <w:tcBorders>
              <w:top w:val="single" w:color="auto" w:sz="4" w:space="0"/>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658" w:type="dxa"/>
            <w:vMerge w:val="continue"/>
            <w:tcBorders>
              <w:top w:val="single" w:color="auto" w:sz="4" w:space="0"/>
              <w:left w:val="nil"/>
              <w:bottom w:val="single" w:color="auto" w:sz="4" w:space="0"/>
              <w:right w:val="single" w:color="auto" w:sz="4" w:space="0"/>
            </w:tcBorders>
            <w:shd w:val="clear" w:color="auto" w:fill="auto"/>
            <w:vAlign w:val="center"/>
          </w:tcPr>
          <w:p>
            <w:pPr>
              <w:spacing w:line="500" w:lineRule="exact"/>
              <w:jc w:val="left"/>
              <w:rPr>
                <w:rFonts w:asciiTheme="minorEastAsia" w:hAnsiTheme="minorEastAsia" w:cstheme="minorEastAsia"/>
                <w:color w:val="333333"/>
                <w:sz w:val="24"/>
              </w:rPr>
            </w:pP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其他结果</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尚未审结</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总计</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结果维持</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结果纠正</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其他结果</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尚未审结</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4"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58"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5"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000000"/>
                <w:kern w:val="0"/>
                <w:sz w:val="24"/>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widowControl/>
              <w:spacing w:line="500" w:lineRule="exact"/>
              <w:jc w:val="center"/>
              <w:rPr>
                <w:rFonts w:asciiTheme="minorEastAsia" w:hAnsiTheme="minorEastAsia" w:cstheme="minorEastAsia"/>
                <w:sz w:val="24"/>
              </w:rPr>
            </w:pPr>
            <w:r>
              <w:rPr>
                <w:rFonts w:hint="eastAsia" w:asciiTheme="minorEastAsia" w:hAnsiTheme="minorEastAsia" w:cstheme="minorEastAsia"/>
                <w:color w:val="333333"/>
                <w:sz w:val="24"/>
              </w:rPr>
              <w:t>0</w:t>
            </w:r>
          </w:p>
        </w:tc>
        <w:tc>
          <w:tcPr>
            <w:tcW w:w="606" w:type="dxa"/>
            <w:tcBorders>
              <w:top w:val="single" w:color="auto" w:sz="4" w:space="0"/>
              <w:left w:val="nil"/>
              <w:bottom w:val="single" w:color="auto" w:sz="4" w:space="0"/>
              <w:right w:val="single" w:color="auto" w:sz="4" w:space="0"/>
            </w:tcBorders>
            <w:shd w:val="clear" w:color="auto" w:fill="auto"/>
            <w:vAlign w:val="center"/>
          </w:tcPr>
          <w:p>
            <w:pPr>
              <w:spacing w:line="500" w:lineRule="exact"/>
              <w:jc w:val="center"/>
              <w:rPr>
                <w:rFonts w:asciiTheme="minorEastAsia" w:hAnsiTheme="minorEastAsia" w:cstheme="minorEastAsia"/>
                <w:color w:val="333333"/>
                <w:sz w:val="24"/>
              </w:rPr>
            </w:pPr>
            <w:r>
              <w:rPr>
                <w:rFonts w:hint="eastAsia" w:asciiTheme="minorEastAsia" w:hAnsiTheme="minorEastAsia" w:cstheme="minorEastAsia"/>
                <w:color w:val="333333"/>
                <w:sz w:val="24"/>
              </w:rPr>
              <w:t>0</w:t>
            </w:r>
          </w:p>
        </w:tc>
      </w:tr>
    </w:tbl>
    <w:p>
      <w:pPr>
        <w:pStyle w:val="5"/>
        <w:widowControl/>
        <w:spacing w:line="500" w:lineRule="exact"/>
        <w:ind w:firstLine="640" w:firstLineChars="200"/>
        <w:jc w:val="both"/>
        <w:rPr>
          <w:rFonts w:ascii="黑体" w:hAnsi="黑体" w:eastAsia="黑体" w:cs="黑体"/>
          <w:bCs/>
          <w:sz w:val="32"/>
          <w:szCs w:val="32"/>
        </w:rPr>
      </w:pPr>
      <w:r>
        <w:rPr>
          <w:rFonts w:hint="eastAsia" w:ascii="黑体" w:hAnsi="黑体" w:eastAsia="黑体" w:cs="黑体"/>
          <w:bCs/>
          <w:color w:val="333333"/>
          <w:sz w:val="32"/>
          <w:szCs w:val="32"/>
        </w:rPr>
        <w:t>五、存在的主要问题及改进情况</w:t>
      </w:r>
    </w:p>
    <w:p>
      <w:pPr>
        <w:spacing w:line="56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202</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年</w:t>
      </w:r>
      <w:r>
        <w:rPr>
          <w:rFonts w:hint="eastAsia" w:ascii="仿宋_GB2312" w:hAnsi="仿宋_GB2312" w:eastAsia="仿宋_GB2312" w:cs="仿宋_GB2312"/>
          <w:color w:val="000000"/>
          <w:sz w:val="32"/>
          <w:szCs w:val="32"/>
        </w:rPr>
        <w:t>国家税务总局黄石经济技术开发区</w:t>
      </w:r>
      <w:r>
        <w:rPr>
          <w:rFonts w:hint="eastAsia" w:ascii="仿宋_GB2312" w:hAnsi="仿宋_GB2312" w:eastAsia="仿宋_GB2312" w:cs="仿宋_GB2312"/>
          <w:color w:val="000000"/>
          <w:sz w:val="32"/>
          <w:szCs w:val="32"/>
          <w:lang w:val="en-US" w:eastAsia="zh-CN"/>
        </w:rPr>
        <w:t>·铁山区</w:t>
      </w:r>
      <w:bookmarkStart w:id="0" w:name="_GoBack"/>
      <w:bookmarkEnd w:id="0"/>
      <w:r>
        <w:rPr>
          <w:rFonts w:hint="eastAsia" w:ascii="仿宋_GB2312" w:hAnsi="仿宋_GB2312" w:eastAsia="仿宋_GB2312" w:cs="仿宋_GB2312"/>
          <w:color w:val="000000"/>
          <w:sz w:val="32"/>
          <w:szCs w:val="32"/>
        </w:rPr>
        <w:t>税务局</w:t>
      </w:r>
      <w:r>
        <w:rPr>
          <w:rFonts w:hint="eastAsia" w:ascii="仿宋_GB2312" w:hAnsi="仿宋_GB2312" w:eastAsia="仿宋_GB2312" w:cs="仿宋_GB2312"/>
          <w:bCs/>
          <w:sz w:val="32"/>
          <w:szCs w:val="32"/>
        </w:rPr>
        <w:t>政府信息公开工作存在一些不足和问题。主要表现在：一是与</w:t>
      </w:r>
      <w:r>
        <w:rPr>
          <w:rFonts w:hint="eastAsia" w:ascii="仿宋_GB2312" w:hAnsi="仿宋_GB2312" w:eastAsia="仿宋_GB2312" w:cs="仿宋_GB2312"/>
          <w:bCs/>
          <w:sz w:val="32"/>
          <w:szCs w:val="32"/>
          <w:lang w:eastAsia="zh-CN"/>
        </w:rPr>
        <w:t>属地政府</w:t>
      </w:r>
      <w:r>
        <w:rPr>
          <w:rFonts w:hint="eastAsia" w:ascii="仿宋_GB2312" w:hAnsi="仿宋_GB2312" w:eastAsia="仿宋_GB2312" w:cs="仿宋_GB2312"/>
          <w:bCs/>
          <w:sz w:val="32"/>
          <w:szCs w:val="32"/>
        </w:rPr>
        <w:t>部门的沟通联系需要进一步加强。二是部分税务干部对信息公开</w:t>
      </w:r>
      <w:r>
        <w:rPr>
          <w:rFonts w:hint="eastAsia" w:ascii="仿宋_GB2312" w:hAnsi="仿宋_GB2312" w:eastAsia="仿宋_GB2312" w:cs="仿宋_GB2312"/>
          <w:bCs/>
          <w:sz w:val="32"/>
          <w:szCs w:val="32"/>
          <w:lang w:eastAsia="zh-CN"/>
        </w:rPr>
        <w:t>的知识掌握不强，需要加强培训学习。</w:t>
      </w:r>
    </w:p>
    <w:p>
      <w:pPr>
        <w:pStyle w:val="5"/>
        <w:widowControl/>
        <w:spacing w:line="360" w:lineRule="auto"/>
        <w:ind w:firstLine="640" w:firstLineChars="200"/>
        <w:jc w:val="both"/>
        <w:rPr>
          <w:rFonts w:hint="eastAsia" w:ascii="仿宋_GB2312" w:hAnsi="仿宋" w:eastAsia="仿宋_GB2312" w:cs="仿宋_GB2312"/>
          <w:sz w:val="32"/>
          <w:szCs w:val="32"/>
          <w:lang w:eastAsia="zh-CN"/>
        </w:rPr>
      </w:pPr>
      <w:r>
        <w:rPr>
          <w:rFonts w:hint="eastAsia" w:ascii="仿宋_GB2312" w:hAnsi="仿宋" w:eastAsia="仿宋_GB2312" w:cs="仿宋_GB2312"/>
          <w:bCs/>
          <w:sz w:val="32"/>
          <w:szCs w:val="32"/>
          <w:lang w:eastAsia="zh-CN"/>
        </w:rPr>
        <w:t>拟采取以下改进措施：一是强化教育培训，</w:t>
      </w:r>
      <w:r>
        <w:rPr>
          <w:rFonts w:hint="eastAsia" w:ascii="仿宋_GB2312" w:hAnsi="仿宋" w:eastAsia="仿宋_GB2312" w:cs="仿宋_GB2312"/>
          <w:sz w:val="32"/>
          <w:szCs w:val="32"/>
        </w:rPr>
        <w:t>加强信息公开</w:t>
      </w:r>
      <w:r>
        <w:rPr>
          <w:rFonts w:hint="eastAsia" w:ascii="仿宋_GB2312" w:hAnsi="仿宋" w:eastAsia="仿宋_GB2312" w:cs="仿宋_GB2312"/>
          <w:sz w:val="32"/>
          <w:szCs w:val="32"/>
          <w:lang w:eastAsia="zh-CN"/>
        </w:rPr>
        <w:t>业务</w:t>
      </w:r>
      <w:r>
        <w:rPr>
          <w:rFonts w:hint="eastAsia" w:ascii="仿宋_GB2312" w:hAnsi="仿宋" w:eastAsia="仿宋_GB2312" w:cs="仿宋_GB2312"/>
          <w:sz w:val="32"/>
          <w:szCs w:val="32"/>
        </w:rPr>
        <w:t>培训，熟练掌握《政府信息公开条例》及相关制度的精神和相关工作要求，打牢业务素质基础。</w:t>
      </w:r>
      <w:r>
        <w:rPr>
          <w:rFonts w:hint="eastAsia" w:ascii="仿宋_GB2312" w:hAnsi="仿宋" w:eastAsia="仿宋_GB2312" w:cs="仿宋_GB2312"/>
          <w:sz w:val="32"/>
          <w:szCs w:val="32"/>
          <w:lang w:eastAsia="zh-CN"/>
        </w:rPr>
        <w:t>二是加强宣传力度，对税务政策加强宣传辅导力度，增强群众对税务部门信息公开工作的认知度。</w:t>
      </w:r>
    </w:p>
    <w:p>
      <w:pPr>
        <w:pStyle w:val="5"/>
        <w:widowControl/>
        <w:spacing w:line="500" w:lineRule="exact"/>
        <w:ind w:firstLine="640" w:firstLineChars="200"/>
        <w:jc w:val="both"/>
        <w:rPr>
          <w:rFonts w:ascii="黑体" w:hAnsi="黑体" w:eastAsia="黑体" w:cs="黑体"/>
          <w:bCs/>
          <w:sz w:val="32"/>
          <w:szCs w:val="32"/>
        </w:rPr>
      </w:pPr>
      <w:r>
        <w:rPr>
          <w:rFonts w:hint="eastAsia" w:ascii="黑体" w:hAnsi="黑体" w:eastAsia="黑体" w:cs="黑体"/>
          <w:bCs/>
          <w:color w:val="333333"/>
          <w:sz w:val="32"/>
          <w:szCs w:val="32"/>
        </w:rPr>
        <w:t>六、其他需要报告的事项</w:t>
      </w:r>
    </w:p>
    <w:p>
      <w:pPr>
        <w:pStyle w:val="5"/>
        <w:widowControl/>
        <w:spacing w:line="500" w:lineRule="exact"/>
        <w:ind w:firstLine="640" w:firstLineChars="200"/>
        <w:jc w:val="both"/>
        <w:rPr>
          <w:rFonts w:hint="eastAsia" w:ascii="仿宋_GB2312" w:hAnsi="仿宋_GB2312" w:eastAsia="仿宋_GB2312" w:cs="仿宋_GB2312"/>
          <w:color w:val="333333"/>
          <w:sz w:val="32"/>
          <w:szCs w:val="32"/>
          <w:lang w:eastAsia="zh-CN"/>
        </w:rPr>
      </w:pPr>
      <w:r>
        <w:rPr>
          <w:rFonts w:hint="eastAsia" w:ascii="仿宋_GB2312" w:hAnsi="仿宋_GB2312" w:eastAsia="仿宋_GB2312" w:cs="仿宋_GB2312"/>
          <w:color w:val="333333"/>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CCE671A"/>
    <w:rsid w:val="002E4D51"/>
    <w:rsid w:val="0043226F"/>
    <w:rsid w:val="00AA72DA"/>
    <w:rsid w:val="00F82496"/>
    <w:rsid w:val="03BE0A00"/>
    <w:rsid w:val="0D321C58"/>
    <w:rsid w:val="0DA549C0"/>
    <w:rsid w:val="130402C4"/>
    <w:rsid w:val="1396199A"/>
    <w:rsid w:val="14E74A8D"/>
    <w:rsid w:val="1855378D"/>
    <w:rsid w:val="1F163849"/>
    <w:rsid w:val="213972C9"/>
    <w:rsid w:val="24495070"/>
    <w:rsid w:val="29954738"/>
    <w:rsid w:val="2A2F5291"/>
    <w:rsid w:val="346B3A3E"/>
    <w:rsid w:val="35E15A4A"/>
    <w:rsid w:val="3AA70741"/>
    <w:rsid w:val="3F413E7D"/>
    <w:rsid w:val="3FE93D43"/>
    <w:rsid w:val="46171E41"/>
    <w:rsid w:val="46BA4FF3"/>
    <w:rsid w:val="4E6D3325"/>
    <w:rsid w:val="516C4206"/>
    <w:rsid w:val="51EE5A72"/>
    <w:rsid w:val="57EA4ADC"/>
    <w:rsid w:val="6E866F94"/>
    <w:rsid w:val="711148E0"/>
    <w:rsid w:val="7C427263"/>
    <w:rsid w:val="7CCE67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jc w:val="left"/>
    </w:pPr>
    <w:rPr>
      <w:rFonts w:cs="Times New Roman"/>
      <w:kern w:val="0"/>
      <w:sz w:val="24"/>
    </w:r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2386</Words>
  <Characters>469</Characters>
  <Lines>3</Lines>
  <Paragraphs>5</Paragraphs>
  <TotalTime>8</TotalTime>
  <ScaleCrop>false</ScaleCrop>
  <LinksUpToDate>false</LinksUpToDate>
  <CharactersWithSpaces>2850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2020-01-14T03:18:00Z</dcterms:created>
  <dc:creator> </dc:creator>
  <cp:lastModifiedBy>裴恒霄</cp:lastModifiedBy>
  <cp:lastPrinted>2023-01-19T07:28:00Z</cp:lastPrinted>
  <dcterms:modified xsi:type="dcterms:W3CDTF">2024-01-04T02:03:00Z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