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A265B">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开发区·铁山区</w:t>
      </w:r>
      <w:r>
        <w:rPr>
          <w:rFonts w:hint="eastAsia" w:ascii="方正小标宋_GBK" w:hAnsi="方正小标宋_GBK" w:eastAsia="方正小标宋_GBK" w:cs="方正小标宋_GBK"/>
          <w:color w:val="auto"/>
          <w:sz w:val="44"/>
          <w:szCs w:val="44"/>
          <w:lang w:val="en-US" w:eastAsia="zh-CN"/>
        </w:rPr>
        <w:t>2025年</w:t>
      </w:r>
      <w:r>
        <w:rPr>
          <w:rFonts w:hint="eastAsia" w:ascii="方正小标宋_GBK" w:hAnsi="方正小标宋_GBK" w:eastAsia="方正小标宋_GBK" w:cs="方正小标宋_GBK"/>
          <w:color w:val="auto"/>
          <w:sz w:val="44"/>
          <w:szCs w:val="44"/>
        </w:rPr>
        <w:t>预算绩效工作</w:t>
      </w:r>
    </w:p>
    <w:p w14:paraId="1BB37FAE">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开展情况</w:t>
      </w:r>
      <w:r>
        <w:rPr>
          <w:rFonts w:hint="eastAsia" w:ascii="方正小标宋_GBK" w:hAnsi="方正小标宋_GBK" w:eastAsia="方正小标宋_GBK" w:cs="方正小标宋_GBK"/>
          <w:color w:val="auto"/>
          <w:sz w:val="44"/>
          <w:szCs w:val="44"/>
          <w:lang w:eastAsia="zh-CN"/>
        </w:rPr>
        <w:t>及</w:t>
      </w:r>
      <w:r>
        <w:rPr>
          <w:rFonts w:hint="eastAsia" w:ascii="方正小标宋_GBK" w:hAnsi="方正小标宋_GBK" w:eastAsia="方正小标宋_GBK" w:cs="方正小标宋_GBK"/>
          <w:color w:val="auto"/>
          <w:sz w:val="44"/>
          <w:szCs w:val="44"/>
        </w:rPr>
        <w:t>重点项目绩效执行结果</w:t>
      </w:r>
    </w:p>
    <w:p w14:paraId="458C579F">
      <w:pPr>
        <w:pStyle w:val="4"/>
        <w:pageBreakBefore w:val="0"/>
        <w:kinsoku/>
        <w:wordWrap/>
        <w:overflowPunct/>
        <w:topLinePunct w:val="0"/>
        <w:autoSpaceDE/>
        <w:autoSpaceDN/>
        <w:bidi w:val="0"/>
        <w:adjustRightInd/>
        <w:snapToGrid/>
        <w:spacing w:before="0" w:after="0" w:line="560" w:lineRule="exact"/>
        <w:ind w:left="0"/>
        <w:textAlignment w:val="auto"/>
        <w:rPr>
          <w:rFonts w:hint="eastAsia"/>
          <w:color w:val="auto"/>
          <w:lang w:val="en-US" w:eastAsia="zh-CN"/>
        </w:rPr>
      </w:pPr>
    </w:p>
    <w:p w14:paraId="2E1D85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为加强财政资金监管，提升财政资金的使用效率，根据中央、省、市关于财政预算绩效管理工作的有关要求，财政部门立足于财政资金支出依据、程序、预算执行、使用管理的角度我局多措并举积极推动全区预算绩效管理工作，现将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
        </w:rPr>
        <w:t>年绩效管理工作开展情况报告如下：</w:t>
      </w:r>
    </w:p>
    <w:p w14:paraId="45D81520">
      <w:pPr>
        <w:keepNext w:val="0"/>
        <w:keepLines w:val="0"/>
        <w:pageBreakBefore w:val="0"/>
        <w:kinsoku/>
        <w:wordWrap/>
        <w:overflowPunct/>
        <w:topLinePunct w:val="0"/>
        <w:autoSpaceDE/>
        <w:autoSpaceDN/>
        <w:bidi w:val="0"/>
        <w:adjustRightInd/>
        <w:snapToGrid/>
        <w:spacing w:beforeAutospacing="0" w:line="560" w:lineRule="exact"/>
        <w:ind w:left="0" w:firstLine="640" w:firstLineChars="200"/>
        <w:textAlignment w:val="auto"/>
        <w:rPr>
          <w:rFonts w:hint="eastAsia" w:ascii="黑体" w:hAnsi="黑体" w:eastAsia="黑体" w:cs="黑体"/>
          <w:b/>
          <w:color w:val="auto"/>
          <w:sz w:val="32"/>
          <w:szCs w:val="32"/>
          <w:lang w:eastAsia="zh-CN"/>
        </w:rPr>
      </w:pPr>
      <w:r>
        <w:rPr>
          <w:rFonts w:hint="eastAsia" w:ascii="黑体" w:hAnsi="黑体" w:eastAsia="黑体" w:cs="黑体"/>
          <w:color w:val="auto"/>
          <w:sz w:val="32"/>
          <w:szCs w:val="32"/>
        </w:rPr>
        <w:t>一、20</w:t>
      </w:r>
      <w:r>
        <w:rPr>
          <w:rFonts w:hint="eastAsia" w:ascii="黑体" w:hAnsi="黑体" w:eastAsia="黑体" w:cs="黑体"/>
          <w:color w:val="auto"/>
          <w:sz w:val="32"/>
          <w:szCs w:val="32"/>
          <w:lang w:val="en-US" w:eastAsia="zh-CN"/>
        </w:rPr>
        <w:t>25</w:t>
      </w:r>
      <w:r>
        <w:rPr>
          <w:rFonts w:hint="eastAsia" w:ascii="黑体" w:hAnsi="黑体" w:eastAsia="黑体" w:cs="黑体"/>
          <w:color w:val="auto"/>
          <w:sz w:val="32"/>
          <w:szCs w:val="32"/>
        </w:rPr>
        <w:t xml:space="preserve">年预算绩效管理工作开展情况 </w:t>
      </w:r>
    </w:p>
    <w:p w14:paraId="1B066BAF">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rPr>
      </w:pPr>
      <w:r>
        <w:rPr>
          <w:rFonts w:hint="eastAsia" w:ascii="楷体_GB2312" w:hAnsi="楷体_GB2312" w:eastAsia="楷体_GB2312" w:cs="楷体_GB2312"/>
          <w:b w:val="0"/>
          <w:bCs/>
          <w:color w:val="auto"/>
          <w:sz w:val="32"/>
          <w:szCs w:val="32"/>
          <w:lang w:eastAsia="zh-CN"/>
        </w:rPr>
        <w:t>（一）健全绩效管理制度体系，夯实工作基础</w:t>
      </w:r>
      <w:r>
        <w:rPr>
          <w:rFonts w:hint="eastAsia" w:ascii="楷体_GB2312" w:hAnsi="楷体_GB2312" w:eastAsia="楷体_GB2312" w:cs="楷体_GB2312"/>
          <w:b w:val="0"/>
          <w:bCs/>
          <w:color w:val="auto"/>
          <w:sz w:val="32"/>
          <w:szCs w:val="32"/>
        </w:rPr>
        <w:t>。</w:t>
      </w:r>
    </w:p>
    <w:p w14:paraId="2F689AC5">
      <w:pPr>
        <w:pageBreakBefore w:val="0"/>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仿宋_GB2312" w:hAnsi="仿宋_GB2312" w:eastAsia="仿宋_GB2312" w:cs="仿宋_GB2312"/>
          <w:color w:val="auto"/>
          <w:kern w:val="0"/>
          <w:sz w:val="32"/>
          <w:szCs w:val="32"/>
          <w:lang w:val="en-US"/>
        </w:rPr>
      </w:pP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加强区级预算</w:t>
      </w:r>
      <w:r>
        <w:rPr>
          <w:rFonts w:hint="eastAsia" w:ascii="仿宋_GB2312" w:hAnsi="仿宋_GB2312" w:eastAsia="仿宋_GB2312" w:cs="仿宋_GB2312"/>
          <w:color w:val="auto"/>
          <w:sz w:val="32"/>
          <w:szCs w:val="32"/>
          <w:lang w:eastAsia="zh-CN"/>
        </w:rPr>
        <w:t>事前</w:t>
      </w:r>
      <w:r>
        <w:rPr>
          <w:rFonts w:hint="eastAsia" w:ascii="仿宋_GB2312" w:hAnsi="仿宋_GB2312" w:eastAsia="仿宋_GB2312" w:cs="仿宋_GB2312"/>
          <w:color w:val="auto"/>
          <w:sz w:val="32"/>
          <w:szCs w:val="32"/>
        </w:rPr>
        <w:t>绩效评估管理工作</w:t>
      </w:r>
      <w:r>
        <w:rPr>
          <w:rFonts w:hint="eastAsia" w:ascii="仿宋_GB2312" w:hAnsi="仿宋_GB2312" w:eastAsia="仿宋_GB2312" w:cs="仿宋_GB2312"/>
          <w:color w:val="auto"/>
          <w:sz w:val="32"/>
          <w:szCs w:val="32"/>
          <w:lang w:eastAsia="zh-CN"/>
        </w:rPr>
        <w:t>。在编制</w:t>
      </w:r>
      <w:r>
        <w:rPr>
          <w:rFonts w:hint="eastAsia" w:ascii="仿宋_GB2312" w:hAnsi="仿宋_GB2312" w:eastAsia="仿宋_GB2312" w:cs="仿宋_GB2312"/>
          <w:color w:val="auto"/>
          <w:sz w:val="32"/>
          <w:szCs w:val="32"/>
          <w:lang w:val="en-US" w:eastAsia="zh-CN"/>
        </w:rPr>
        <w:t>2026年预算工作时，选取11家单位的</w:t>
      </w:r>
      <w:r>
        <w:rPr>
          <w:rFonts w:hint="eastAsia" w:ascii="Times New Roman" w:hAnsi="Times New Roman" w:eastAsia="仿宋_GB2312"/>
          <w:sz w:val="32"/>
        </w:rPr>
        <w:t>重大项目</w:t>
      </w: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开展</w:t>
      </w:r>
      <w:r>
        <w:rPr>
          <w:rFonts w:hint="eastAsia" w:ascii="Times New Roman" w:hAnsi="Times New Roman" w:eastAsia="仿宋_GB2312"/>
          <w:sz w:val="32"/>
        </w:rPr>
        <w:t>事前绩效评估</w:t>
      </w:r>
      <w:r>
        <w:rPr>
          <w:rFonts w:hint="eastAsia" w:ascii="Times New Roman" w:hAnsi="Times New Roman" w:eastAsia="仿宋_GB2312"/>
          <w:sz w:val="32"/>
          <w:lang w:eastAsia="zh-CN"/>
        </w:rPr>
        <w:t>，</w:t>
      </w:r>
      <w:r>
        <w:rPr>
          <w:rFonts w:hint="eastAsia" w:ascii="Times New Roman" w:hAnsi="Times New Roman" w:eastAsia="仿宋_GB2312"/>
          <w:sz w:val="32"/>
        </w:rPr>
        <w:t>现场评审</w:t>
      </w:r>
      <w:r>
        <w:rPr>
          <w:rFonts w:hint="eastAsia" w:ascii="Times New Roman" w:hAnsi="Times New Roman" w:eastAsia="仿宋_GB2312"/>
          <w:sz w:val="32"/>
          <w:lang w:val="en-US" w:eastAsia="zh-CN"/>
        </w:rPr>
        <w:t>了11个重大项目</w:t>
      </w:r>
      <w:r>
        <w:rPr>
          <w:rFonts w:hint="eastAsia" w:ascii="仿宋_GB2312" w:hAnsi="仿宋_GB2312" w:eastAsia="仿宋_GB2312" w:cs="仿宋_GB2312"/>
          <w:color w:val="auto"/>
          <w:sz w:val="32"/>
          <w:szCs w:val="32"/>
          <w:lang w:val="en-US" w:eastAsia="zh-CN"/>
        </w:rPr>
        <w:t>，并形成评估结果，根据评审结果合理安排预算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切实提高了财政资源配置效率，</w:t>
      </w:r>
      <w:r>
        <w:rPr>
          <w:rFonts w:hint="eastAsia" w:ascii="仿宋_GB2312" w:hAnsi="仿宋_GB2312" w:eastAsia="仿宋_GB2312" w:cs="仿宋_GB2312"/>
          <w:color w:val="auto"/>
          <w:sz w:val="32"/>
          <w:szCs w:val="32"/>
        </w:rPr>
        <w:t>填补了我区</w:t>
      </w:r>
      <w:r>
        <w:rPr>
          <w:rFonts w:hint="eastAsia" w:ascii="仿宋_GB2312" w:hAnsi="仿宋_GB2312" w:eastAsia="仿宋_GB2312" w:cs="仿宋_GB2312"/>
          <w:color w:val="auto"/>
          <w:sz w:val="32"/>
          <w:szCs w:val="32"/>
          <w:lang w:eastAsia="zh-CN"/>
        </w:rPr>
        <w:t>事前</w:t>
      </w:r>
      <w:r>
        <w:rPr>
          <w:rFonts w:hint="eastAsia" w:ascii="仿宋_GB2312" w:hAnsi="仿宋_GB2312" w:eastAsia="仿宋_GB2312" w:cs="仿宋_GB2312"/>
          <w:color w:val="auto"/>
          <w:sz w:val="32"/>
          <w:szCs w:val="32"/>
        </w:rPr>
        <w:t>绩效管理上制度的</w:t>
      </w:r>
      <w:r>
        <w:rPr>
          <w:rFonts w:hint="eastAsia" w:ascii="仿宋_GB2312" w:hAnsi="仿宋_GB2312" w:eastAsia="仿宋_GB2312" w:cs="仿宋_GB2312"/>
          <w:color w:val="auto"/>
          <w:sz w:val="32"/>
          <w:szCs w:val="32"/>
          <w:lang w:eastAsia="zh-CN"/>
        </w:rPr>
        <w:t>真空区域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开展202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年度区级财政项目支出绩效评价工作、开展202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年度部门整体支出绩效目标申报及202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年度整体支出评价工作、开展202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年度财政专项资金绩效监控工作。</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组织邀请第</w:t>
      </w:r>
      <w:r>
        <w:rPr>
          <w:rFonts w:hint="eastAsia" w:ascii="仿宋_GB2312" w:hAnsi="仿宋_GB2312" w:eastAsia="仿宋_GB2312" w:cs="仿宋_GB2312"/>
          <w:color w:val="auto"/>
          <w:sz w:val="32"/>
          <w:szCs w:val="32"/>
          <w:highlight w:val="none"/>
          <w:lang w:eastAsia="zh-CN"/>
        </w:rPr>
        <w:t>三方</w:t>
      </w:r>
      <w:r>
        <w:rPr>
          <w:rFonts w:hint="eastAsia" w:ascii="仿宋_GB2312" w:hAnsi="仿宋_GB2312" w:eastAsia="仿宋_GB2312" w:cs="仿宋_GB2312"/>
          <w:color w:val="auto"/>
          <w:sz w:val="32"/>
          <w:szCs w:val="32"/>
          <w:highlight w:val="none"/>
        </w:rPr>
        <w:t>机构进行对202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年度</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个重点项目</w:t>
      </w:r>
      <w:r>
        <w:rPr>
          <w:rFonts w:hint="eastAsia" w:ascii="仿宋_GB2312" w:hAnsi="仿宋_GB2312" w:eastAsia="仿宋_GB2312" w:cs="仿宋_GB2312"/>
          <w:color w:val="auto"/>
          <w:sz w:val="32"/>
          <w:szCs w:val="32"/>
          <w:highlight w:val="none"/>
          <w:lang w:val="en-US" w:eastAsia="zh-CN"/>
        </w:rPr>
        <w:t>(含一个部门整体）</w:t>
      </w:r>
      <w:r>
        <w:rPr>
          <w:rFonts w:hint="eastAsia" w:ascii="仿宋_GB2312" w:hAnsi="仿宋_GB2312" w:eastAsia="仿宋_GB2312" w:cs="仿宋_GB2312"/>
          <w:color w:val="auto"/>
          <w:sz w:val="32"/>
          <w:szCs w:val="32"/>
          <w:highlight w:val="none"/>
        </w:rPr>
        <w:t>进行绩效评价</w:t>
      </w:r>
      <w:r>
        <w:rPr>
          <w:rFonts w:hint="eastAsia" w:ascii="仿宋_GB2312" w:hAnsi="仿宋_GB2312" w:eastAsia="仿宋_GB2312" w:cs="仿宋_GB2312"/>
          <w:color w:val="auto"/>
          <w:sz w:val="32"/>
          <w:szCs w:val="32"/>
          <w:highlight w:val="none"/>
          <w:lang w:val="en-US" w:eastAsia="zh-CN"/>
        </w:rPr>
        <w:t>,其中1个项目评价为“优”、7个项目评价为“良”、1个项目评价为“中”</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rPr>
        <w:t>四是积极准备全省202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年度的绩效管理工作考评</w:t>
      </w:r>
      <w:r>
        <w:rPr>
          <w:rFonts w:hint="eastAsia" w:ascii="仿宋_GB2312" w:hAnsi="仿宋_GB2312" w:eastAsia="仿宋_GB2312" w:cs="仿宋_GB2312"/>
          <w:color w:val="auto"/>
          <w:sz w:val="32"/>
          <w:szCs w:val="32"/>
          <w:lang w:eastAsia="zh-CN"/>
        </w:rPr>
        <w:t>。</w:t>
      </w:r>
    </w:p>
    <w:p w14:paraId="762535D4">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（二）强化绩效目标管理，从源头把控预算质量</w:t>
      </w:r>
    </w:p>
    <w:p w14:paraId="3C3A162F">
      <w:pPr>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w:t>
      </w:r>
      <w:r>
        <w:rPr>
          <w:rFonts w:hint="eastAsia" w:ascii="仿宋_GB2312" w:hAnsi="仿宋_GB2312" w:eastAsia="仿宋_GB2312" w:cs="仿宋_GB2312"/>
          <w:color w:val="auto"/>
          <w:sz w:val="32"/>
          <w:szCs w:val="32"/>
          <w:lang w:eastAsia="zh-CN"/>
        </w:rPr>
        <w:t>组织专家开展202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年财政预算项目绩效目标申报评审工作，</w:t>
      </w:r>
      <w:r>
        <w:rPr>
          <w:rFonts w:hint="eastAsia" w:ascii="仿宋_GB2312" w:hAnsi="仿宋_GB2312" w:eastAsia="仿宋_GB2312" w:cs="仿宋_GB2312"/>
          <w:color w:val="auto"/>
          <w:sz w:val="32"/>
          <w:szCs w:val="32"/>
          <w:lang w:val="en-US" w:eastAsia="zh-CN"/>
        </w:rPr>
        <w:t>评审项目385个，并</w:t>
      </w:r>
      <w:r>
        <w:rPr>
          <w:rFonts w:hint="eastAsia" w:ascii="仿宋_GB2312" w:hAnsi="仿宋_GB2312" w:eastAsia="仿宋_GB2312" w:cs="仿宋_GB2312"/>
          <w:color w:val="auto"/>
          <w:sz w:val="32"/>
          <w:szCs w:val="32"/>
          <w:lang w:eastAsia="zh-CN"/>
        </w:rPr>
        <w:t>对</w:t>
      </w:r>
      <w:r>
        <w:rPr>
          <w:rFonts w:hint="eastAsia" w:ascii="仿宋_GB2312" w:hAnsi="仿宋_GB2312" w:eastAsia="仿宋_GB2312" w:cs="仿宋_GB2312"/>
          <w:color w:val="auto"/>
          <w:sz w:val="32"/>
          <w:szCs w:val="32"/>
          <w:lang w:val="en-US" w:eastAsia="zh-CN"/>
        </w:rPr>
        <w:t>全部项目进行绩效目标批复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是加强绩效目标审核，同步调整绩效目标，强化绩效目标全流程管理，2025年预算调整时，要求项目单位同步调整绩效目标，并填报《项目支出绩效目标调整表》，重点关注目标与政策导向的契合度、指标的可操作性，全年审核调整绩效目标10余项。</w:t>
      </w:r>
    </w:p>
    <w:p w14:paraId="02C2FCCA">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（三）加强绩效评价结果应用</w:t>
      </w:r>
    </w:p>
    <w:p w14:paraId="2FD1FF4C">
      <w:pPr>
        <w:pageBreakBefore w:val="0"/>
        <w:kinsoku/>
        <w:wordWrap/>
        <w:overflowPunct/>
        <w:topLinePunct w:val="0"/>
        <w:autoSpaceDE/>
        <w:autoSpaceDN/>
        <w:bidi w:val="0"/>
        <w:adjustRightInd/>
        <w:snapToGrid/>
        <w:spacing w:afterAutospacing="0"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强化绩效评价结果应用。严格落实政府过“紧日子”的要求，建立绩效管理成果挂钩机制，严格按照“花钱必问效、无效必问责”原则，体现奖优罚劣和激励相容导向，切实提高财政资金使用效益推动绩效目标与预算编制紧密衔接。</w:t>
      </w:r>
    </w:p>
    <w:p w14:paraId="009574D6">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eastAsia="zh-CN"/>
        </w:rPr>
        <w:t>（</w:t>
      </w:r>
      <w:r>
        <w:rPr>
          <w:rFonts w:hint="eastAsia" w:ascii="楷体_GB2312" w:hAnsi="楷体_GB2312" w:eastAsia="楷体_GB2312" w:cs="楷体_GB2312"/>
          <w:b w:val="0"/>
          <w:bCs/>
          <w:color w:val="auto"/>
          <w:sz w:val="32"/>
          <w:szCs w:val="32"/>
          <w:lang w:val="en-US" w:eastAsia="zh-CN"/>
        </w:rPr>
        <w:t>四）</w:t>
      </w:r>
      <w:r>
        <w:rPr>
          <w:rFonts w:hint="eastAsia" w:ascii="楷体_GB2312" w:hAnsi="楷体_GB2312" w:eastAsia="楷体_GB2312" w:cs="楷体_GB2312"/>
          <w:b w:val="0"/>
          <w:bCs/>
          <w:color w:val="auto"/>
          <w:sz w:val="32"/>
          <w:szCs w:val="32"/>
          <w:lang w:eastAsia="zh-CN"/>
        </w:rPr>
        <w:t>加强绩效管理能力建设，提升工作水平</w:t>
      </w:r>
    </w:p>
    <w:p w14:paraId="5B2FBA88">
      <w:pPr>
        <w:pageBreakBefore w:val="0"/>
        <w:kinsoku/>
        <w:wordWrap/>
        <w:overflowPunct/>
        <w:topLinePunct w:val="0"/>
        <w:autoSpaceDE/>
        <w:autoSpaceDN/>
        <w:bidi w:val="0"/>
        <w:adjustRightInd/>
        <w:snapToGrid/>
        <w:spacing w:afterAutospacing="0" w:line="560" w:lineRule="exact"/>
        <w:ind w:firstLine="640" w:firstLineChars="200"/>
        <w:jc w:val="left"/>
        <w:textAlignment w:val="auto"/>
        <w:rPr>
          <w:rFonts w:hint="eastAsia" w:ascii="仿宋_GB2312" w:hAnsi="仿宋_GB2312" w:eastAsia="仿宋_GB2312" w:cs="仿宋_GB2312"/>
          <w:color w:val="auto"/>
          <w:kern w:val="0"/>
          <w:sz w:val="32"/>
          <w:szCs w:val="32"/>
          <w:lang w:val="en" w:eastAsia="zh-CN" w:bidi="ar-SA"/>
        </w:rPr>
      </w:pPr>
      <w:r>
        <w:rPr>
          <w:rFonts w:hint="eastAsia" w:ascii="仿宋_GB2312" w:hAnsi="仿宋_GB2312" w:eastAsia="仿宋_GB2312" w:cs="仿宋_GB2312"/>
          <w:color w:val="auto"/>
          <w:kern w:val="0"/>
          <w:sz w:val="32"/>
          <w:szCs w:val="32"/>
          <w:lang w:val="en-US" w:eastAsia="zh-CN" w:bidi="ar-SA"/>
        </w:rPr>
        <w:t>一是</w:t>
      </w:r>
      <w:r>
        <w:rPr>
          <w:rFonts w:hint="eastAsia" w:ascii="仿宋_GB2312" w:hAnsi="仿宋_GB2312" w:eastAsia="仿宋_GB2312" w:cs="仿宋_GB2312"/>
          <w:color w:val="auto"/>
          <w:kern w:val="0"/>
          <w:sz w:val="32"/>
          <w:szCs w:val="32"/>
          <w:lang w:val="en" w:eastAsia="zh-CN" w:bidi="ar-SA"/>
        </w:rPr>
        <w:t>开展全员培训，组织预算单位财务人员和业务骨干参加绩效管理专题培训</w:t>
      </w:r>
      <w:r>
        <w:rPr>
          <w:rFonts w:hint="eastAsia" w:ascii="仿宋_GB2312" w:hAnsi="仿宋_GB2312" w:eastAsia="仿宋_GB2312" w:cs="仿宋_GB2312"/>
          <w:color w:val="auto"/>
          <w:kern w:val="0"/>
          <w:sz w:val="32"/>
          <w:szCs w:val="32"/>
          <w:lang w:val="en-US" w:eastAsia="zh-CN" w:bidi="ar-SA"/>
        </w:rPr>
        <w:t>2</w:t>
      </w:r>
      <w:r>
        <w:rPr>
          <w:rFonts w:hint="eastAsia" w:ascii="仿宋_GB2312" w:hAnsi="仿宋_GB2312" w:eastAsia="仿宋_GB2312" w:cs="仿宋_GB2312"/>
          <w:color w:val="auto"/>
          <w:kern w:val="0"/>
          <w:sz w:val="32"/>
          <w:szCs w:val="32"/>
          <w:lang w:val="en" w:eastAsia="zh-CN" w:bidi="ar-SA"/>
        </w:rPr>
        <w:t>场，培训人数达</w:t>
      </w:r>
      <w:r>
        <w:rPr>
          <w:rFonts w:hint="eastAsia" w:ascii="仿宋_GB2312" w:hAnsi="仿宋_GB2312" w:eastAsia="仿宋_GB2312" w:cs="仿宋_GB2312"/>
          <w:color w:val="auto"/>
          <w:kern w:val="0"/>
          <w:sz w:val="32"/>
          <w:szCs w:val="32"/>
          <w:lang w:val="en-US" w:eastAsia="zh-CN" w:bidi="ar-SA"/>
        </w:rPr>
        <w:t>200</w:t>
      </w:r>
      <w:r>
        <w:rPr>
          <w:rFonts w:hint="eastAsia" w:ascii="仿宋_GB2312" w:hAnsi="仿宋_GB2312" w:eastAsia="仿宋_GB2312" w:cs="仿宋_GB2312"/>
          <w:color w:val="auto"/>
          <w:kern w:val="0"/>
          <w:sz w:val="32"/>
          <w:szCs w:val="32"/>
          <w:lang w:val="en" w:eastAsia="zh-CN" w:bidi="ar-SA"/>
        </w:rPr>
        <w:t>余人次，提升相关人员的专业素养。</w:t>
      </w:r>
      <w:r>
        <w:rPr>
          <w:rFonts w:hint="eastAsia" w:ascii="仿宋_GB2312" w:hAnsi="仿宋_GB2312" w:eastAsia="仿宋_GB2312" w:cs="仿宋_GB2312"/>
          <w:color w:val="auto"/>
          <w:kern w:val="0"/>
          <w:sz w:val="32"/>
          <w:szCs w:val="32"/>
          <w:lang w:val="en-US" w:eastAsia="zh-CN" w:bidi="ar-SA"/>
        </w:rPr>
        <w:t>会上组织</w:t>
      </w:r>
      <w:r>
        <w:rPr>
          <w:rFonts w:hint="eastAsia" w:ascii="仿宋_GB2312" w:hAnsi="仿宋_GB2312" w:eastAsia="仿宋_GB2312" w:cs="仿宋_GB2312"/>
          <w:color w:val="auto"/>
          <w:kern w:val="0"/>
          <w:sz w:val="32"/>
          <w:szCs w:val="32"/>
          <w:lang w:val="en" w:eastAsia="zh-CN" w:bidi="ar-SA"/>
        </w:rPr>
        <w:t>经验交流，选取先进单位分享工作做法，促进相互学习借鉴，推动整体工作提升。</w:t>
      </w:r>
    </w:p>
    <w:p w14:paraId="33C38AE9">
      <w:pPr>
        <w:pageBreakBefore w:val="0"/>
        <w:kinsoku/>
        <w:wordWrap/>
        <w:overflowPunct/>
        <w:topLinePunct w:val="0"/>
        <w:autoSpaceDE/>
        <w:autoSpaceDN/>
        <w:bidi w:val="0"/>
        <w:adjustRightInd/>
        <w:snapToGrid/>
        <w:spacing w:afterAutospacing="0" w:line="560" w:lineRule="exact"/>
        <w:ind w:firstLine="640" w:firstLineChars="200"/>
        <w:jc w:val="left"/>
        <w:textAlignment w:val="auto"/>
        <w:rPr>
          <w:rFonts w:hint="eastAsia" w:ascii="仿宋_GB2312" w:hAnsi="仿宋_GB2312" w:eastAsia="仿宋_GB2312" w:cs="仿宋_GB2312"/>
          <w:color w:val="auto"/>
          <w:kern w:val="0"/>
          <w:sz w:val="32"/>
          <w:szCs w:val="32"/>
          <w:lang w:val="en" w:eastAsia="zh-CN" w:bidi="ar-SA"/>
        </w:rPr>
      </w:pPr>
      <w:r>
        <w:rPr>
          <w:rFonts w:hint="eastAsia" w:ascii="仿宋_GB2312" w:hAnsi="仿宋_GB2312" w:eastAsia="仿宋_GB2312" w:cs="仿宋_GB2312"/>
          <w:color w:val="auto"/>
          <w:kern w:val="0"/>
          <w:sz w:val="32"/>
          <w:szCs w:val="32"/>
          <w:lang w:val="en-US" w:eastAsia="zh-CN" w:bidi="ar-SA"/>
        </w:rPr>
        <w:t>二是</w:t>
      </w:r>
      <w:r>
        <w:rPr>
          <w:rFonts w:hint="eastAsia" w:ascii="仿宋_GB2312" w:hAnsi="仿宋_GB2312" w:eastAsia="仿宋_GB2312" w:cs="仿宋_GB2312"/>
          <w:color w:val="auto"/>
          <w:kern w:val="0"/>
          <w:sz w:val="32"/>
          <w:szCs w:val="32"/>
          <w:lang w:val="en" w:eastAsia="zh-CN" w:bidi="ar-SA"/>
        </w:rPr>
        <w:t>利用预算管理一体化系统中的绩效模块，实现绩效目标、监控、评价数据的自动归集和分析，提高工作效率。</w:t>
      </w:r>
    </w:p>
    <w:p w14:paraId="731C99E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bCs w:val="0"/>
          <w:color w:val="auto"/>
          <w:sz w:val="32"/>
          <w:szCs w:val="32"/>
          <w:shd w:val="clear" w:fill="FFFFFF"/>
        </w:rPr>
      </w:pPr>
      <w:r>
        <w:rPr>
          <w:rFonts w:hint="eastAsia" w:ascii="黑体" w:hAnsi="黑体" w:eastAsia="黑体" w:cs="黑体"/>
          <w:b w:val="0"/>
          <w:bCs w:val="0"/>
          <w:color w:val="auto"/>
          <w:sz w:val="32"/>
          <w:szCs w:val="32"/>
          <w:shd w:val="clear" w:fill="FFFFFF"/>
        </w:rPr>
        <w:t>二、202</w:t>
      </w:r>
      <w:r>
        <w:rPr>
          <w:rFonts w:hint="eastAsia" w:ascii="黑体" w:hAnsi="黑体" w:eastAsia="黑体" w:cs="黑体"/>
          <w:b w:val="0"/>
          <w:bCs w:val="0"/>
          <w:color w:val="auto"/>
          <w:sz w:val="32"/>
          <w:szCs w:val="32"/>
          <w:shd w:val="clear" w:fill="FFFFFF"/>
          <w:lang w:val="en-US" w:eastAsia="zh-CN"/>
        </w:rPr>
        <w:t>5</w:t>
      </w:r>
      <w:r>
        <w:rPr>
          <w:rFonts w:hint="eastAsia" w:ascii="黑体" w:hAnsi="黑体" w:eastAsia="黑体" w:cs="黑体"/>
          <w:b w:val="0"/>
          <w:bCs w:val="0"/>
          <w:color w:val="auto"/>
          <w:sz w:val="32"/>
          <w:szCs w:val="32"/>
          <w:shd w:val="clear" w:fill="FFFFFF"/>
        </w:rPr>
        <w:t>年重点项目绩效执行结果</w:t>
      </w:r>
    </w:p>
    <w:p w14:paraId="7093241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shd w:val="clear" w:fill="FFFFFF"/>
        </w:rPr>
        <w:t>根据预算绩效管理工作安排，报经</w:t>
      </w:r>
      <w:r>
        <w:rPr>
          <w:rFonts w:hint="eastAsia" w:ascii="仿宋_GB2312" w:hAnsi="仿宋_GB2312" w:eastAsia="仿宋_GB2312" w:cs="仿宋_GB2312"/>
          <w:color w:val="auto"/>
          <w:sz w:val="32"/>
          <w:szCs w:val="32"/>
          <w:shd w:val="clear" w:fill="FFFFFF"/>
          <w:lang w:eastAsia="zh-CN"/>
        </w:rPr>
        <w:t>区</w:t>
      </w:r>
      <w:r>
        <w:rPr>
          <w:rFonts w:hint="eastAsia" w:ascii="仿宋_GB2312" w:hAnsi="仿宋_GB2312" w:eastAsia="仿宋_GB2312" w:cs="仿宋_GB2312"/>
          <w:color w:val="auto"/>
          <w:sz w:val="32"/>
          <w:szCs w:val="32"/>
          <w:shd w:val="clear" w:fill="FFFFFF"/>
        </w:rPr>
        <w:t>财政局党组审定，</w:t>
      </w:r>
      <w:r>
        <w:rPr>
          <w:rFonts w:hint="eastAsia" w:ascii="仿宋_GB2312" w:hAnsi="仿宋_GB2312" w:eastAsia="仿宋_GB2312" w:cs="仿宋_GB2312"/>
          <w:color w:val="auto"/>
          <w:sz w:val="32"/>
          <w:szCs w:val="32"/>
          <w:shd w:val="clear" w:fill="FFFFFF"/>
          <w:lang w:eastAsia="zh-CN"/>
        </w:rPr>
        <w:t>区</w:t>
      </w:r>
      <w:r>
        <w:rPr>
          <w:rFonts w:hint="eastAsia" w:ascii="仿宋_GB2312" w:hAnsi="仿宋_GB2312" w:eastAsia="仿宋_GB2312" w:cs="仿宋_GB2312"/>
          <w:color w:val="auto"/>
          <w:sz w:val="32"/>
          <w:szCs w:val="32"/>
          <w:shd w:val="clear" w:fill="FFFFFF"/>
        </w:rPr>
        <w:t>财政局围绕</w:t>
      </w:r>
      <w:r>
        <w:rPr>
          <w:rFonts w:hint="eastAsia" w:ascii="仿宋_GB2312" w:hAnsi="仿宋_GB2312" w:eastAsia="仿宋_GB2312" w:cs="仿宋_GB2312"/>
          <w:color w:val="auto"/>
          <w:sz w:val="32"/>
          <w:szCs w:val="32"/>
          <w:shd w:val="clear" w:fill="FFFFFF"/>
          <w:lang w:eastAsia="zh-CN"/>
        </w:rPr>
        <w:t>区</w:t>
      </w:r>
      <w:r>
        <w:rPr>
          <w:rFonts w:hint="eastAsia" w:ascii="仿宋_GB2312" w:hAnsi="仿宋_GB2312" w:eastAsia="仿宋_GB2312" w:cs="仿宋_GB2312"/>
          <w:color w:val="auto"/>
          <w:sz w:val="32"/>
          <w:szCs w:val="32"/>
          <w:shd w:val="clear" w:fill="FFFFFF"/>
        </w:rPr>
        <w:t>委、</w:t>
      </w:r>
      <w:r>
        <w:rPr>
          <w:rFonts w:hint="eastAsia" w:ascii="仿宋_GB2312" w:hAnsi="仿宋_GB2312" w:eastAsia="仿宋_GB2312" w:cs="仿宋_GB2312"/>
          <w:color w:val="auto"/>
          <w:sz w:val="32"/>
          <w:szCs w:val="32"/>
          <w:shd w:val="clear" w:fill="FFFFFF"/>
          <w:lang w:eastAsia="zh-CN"/>
        </w:rPr>
        <w:t>区</w:t>
      </w:r>
      <w:r>
        <w:rPr>
          <w:rFonts w:hint="eastAsia" w:ascii="仿宋_GB2312" w:hAnsi="仿宋_GB2312" w:eastAsia="仿宋_GB2312" w:cs="仿宋_GB2312"/>
          <w:color w:val="auto"/>
          <w:sz w:val="32"/>
          <w:szCs w:val="32"/>
          <w:shd w:val="clear" w:fill="FFFFFF"/>
        </w:rPr>
        <w:t>政府重大决策部署，选择</w:t>
      </w:r>
      <w:r>
        <w:rPr>
          <w:rFonts w:hint="eastAsia" w:ascii="仿宋_GB2312" w:hAnsi="仿宋_GB2312" w:eastAsia="仿宋_GB2312" w:cs="仿宋_GB2312"/>
          <w:color w:val="auto"/>
          <w:sz w:val="32"/>
          <w:szCs w:val="32"/>
          <w:shd w:val="clear" w:fill="FFFFFF"/>
          <w:lang w:eastAsia="zh-CN"/>
        </w:rPr>
        <w:t>重点</w:t>
      </w:r>
      <w:r>
        <w:rPr>
          <w:rFonts w:hint="eastAsia" w:ascii="仿宋_GB2312" w:hAnsi="仿宋_GB2312" w:eastAsia="仿宋_GB2312" w:cs="仿宋_GB2312"/>
          <w:color w:val="auto"/>
          <w:sz w:val="32"/>
          <w:szCs w:val="32"/>
          <w:shd w:val="clear" w:fill="FFFFFF"/>
        </w:rPr>
        <w:t>项目作为财政绩效评价对象，覆盖</w:t>
      </w:r>
      <w:r>
        <w:rPr>
          <w:rFonts w:hint="eastAsia" w:ascii="仿宋_GB2312" w:hAnsi="仿宋_GB2312" w:eastAsia="仿宋_GB2312" w:cs="仿宋_GB2312"/>
          <w:color w:val="auto"/>
          <w:sz w:val="32"/>
          <w:szCs w:val="32"/>
          <w:shd w:val="clear" w:fill="FFFFFF"/>
          <w:lang w:eastAsia="zh-CN"/>
        </w:rPr>
        <w:t>科技、教育、建设</w:t>
      </w:r>
      <w:r>
        <w:rPr>
          <w:rFonts w:hint="eastAsia" w:ascii="仿宋_GB2312" w:hAnsi="仿宋_GB2312" w:eastAsia="仿宋_GB2312" w:cs="仿宋_GB2312"/>
          <w:color w:val="auto"/>
          <w:sz w:val="32"/>
          <w:szCs w:val="32"/>
          <w:shd w:val="clear" w:fill="FFFFFF"/>
        </w:rPr>
        <w:t>等各项重点领域。目前评价工作完成，</w:t>
      </w:r>
      <w:r>
        <w:rPr>
          <w:rFonts w:hint="eastAsia" w:ascii="仿宋_GB2312" w:hAnsi="仿宋_GB2312" w:eastAsia="仿宋_GB2312" w:cs="仿宋_GB2312"/>
          <w:color w:val="auto"/>
          <w:sz w:val="32"/>
          <w:szCs w:val="32"/>
          <w:shd w:val="clear" w:fill="FFFFFF"/>
          <w:lang w:eastAsia="zh-CN"/>
        </w:rPr>
        <w:t>评价结果已发送</w:t>
      </w:r>
      <w:r>
        <w:rPr>
          <w:rFonts w:hint="eastAsia" w:ascii="仿宋_GB2312" w:hAnsi="仿宋_GB2312" w:eastAsia="仿宋_GB2312" w:cs="仿宋_GB2312"/>
          <w:color w:val="auto"/>
          <w:sz w:val="32"/>
          <w:szCs w:val="32"/>
          <w:shd w:val="clear" w:fill="FFFFFF"/>
        </w:rPr>
        <w:t>被评价部门</w:t>
      </w:r>
      <w:r>
        <w:rPr>
          <w:rFonts w:hint="eastAsia" w:ascii="仿宋_GB2312" w:hAnsi="仿宋_GB2312" w:eastAsia="仿宋_GB2312" w:cs="仿宋_GB2312"/>
          <w:color w:val="auto"/>
          <w:sz w:val="32"/>
          <w:szCs w:val="32"/>
          <w:shd w:val="clear" w:fill="FFFFFF"/>
          <w:lang w:eastAsia="zh-CN"/>
        </w:rPr>
        <w:t>，项目单位</w:t>
      </w:r>
      <w:r>
        <w:rPr>
          <w:rFonts w:hint="eastAsia" w:ascii="仿宋_GB2312" w:hAnsi="仿宋_GB2312" w:eastAsia="仿宋_GB2312" w:cs="仿宋_GB2312"/>
          <w:color w:val="auto"/>
          <w:sz w:val="32"/>
          <w:szCs w:val="32"/>
          <w:shd w:val="clear" w:fill="FFFFFF"/>
          <w:lang w:val="en-US" w:eastAsia="zh-CN"/>
        </w:rPr>
        <w:t>正在</w:t>
      </w:r>
      <w:r>
        <w:rPr>
          <w:rFonts w:hint="eastAsia" w:ascii="仿宋_GB2312" w:hAnsi="仿宋_GB2312" w:eastAsia="仿宋_GB2312" w:cs="仿宋_GB2312"/>
          <w:color w:val="auto"/>
          <w:sz w:val="32"/>
          <w:szCs w:val="32"/>
          <w:shd w:val="clear" w:fill="FFFFFF"/>
          <w:lang w:eastAsia="zh-CN"/>
        </w:rPr>
        <w:t>对报告问题回复整改意见。</w:t>
      </w:r>
    </w:p>
    <w:p w14:paraId="12EB56B2">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eastAsia="zh-CN"/>
        </w:rPr>
      </w:pPr>
      <w:r>
        <w:rPr>
          <w:rFonts w:hint="eastAsia" w:ascii="楷体_GB2312" w:hAnsi="楷体_GB2312" w:eastAsia="楷体_GB2312" w:cs="楷体_GB2312"/>
          <w:b w:val="0"/>
          <w:bCs/>
          <w:color w:val="auto"/>
          <w:sz w:val="32"/>
          <w:szCs w:val="32"/>
          <w:lang w:val="en-US" w:eastAsia="zh-CN"/>
        </w:rPr>
        <w:t>（一）</w:t>
      </w:r>
      <w:r>
        <w:rPr>
          <w:rFonts w:hint="eastAsia" w:ascii="楷体_GB2312" w:hAnsi="楷体_GB2312" w:eastAsia="楷体_GB2312" w:cs="楷体_GB2312"/>
          <w:b w:val="0"/>
          <w:bCs/>
          <w:color w:val="auto"/>
          <w:sz w:val="32"/>
          <w:szCs w:val="32"/>
          <w:lang w:eastAsia="zh-CN"/>
        </w:rPr>
        <w:t>“2024年度景区维护管理项目”项目绩效执行结果</w:t>
      </w:r>
    </w:p>
    <w:p w14:paraId="71FB3BC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实施单位</w:t>
      </w:r>
      <w:r>
        <w:rPr>
          <w:rFonts w:hint="eastAsia" w:ascii="仿宋_GB2312" w:hAnsi="仿宋_GB2312" w:eastAsia="仿宋_GB2312" w:cs="仿宋_GB2312"/>
          <w:color w:val="auto"/>
          <w:sz w:val="32"/>
          <w:szCs w:val="32"/>
          <w:shd w:val="clear" w:fill="FFFFFF"/>
          <w:lang w:eastAsia="zh-CN"/>
        </w:rPr>
        <w:t>负责</w:t>
      </w:r>
      <w:r>
        <w:rPr>
          <w:rFonts w:hint="eastAsia" w:ascii="仿宋_GB2312" w:hAnsi="仿宋_GB2312" w:eastAsia="仿宋_GB2312" w:cs="仿宋_GB2312"/>
          <w:color w:val="auto"/>
          <w:sz w:val="32"/>
          <w:szCs w:val="32"/>
          <w:shd w:val="clear" w:fill="FFFFFF"/>
          <w:lang w:val="en-US" w:eastAsia="zh-CN"/>
        </w:rPr>
        <w:t>的</w:t>
      </w:r>
      <w:r>
        <w:rPr>
          <w:rFonts w:hint="eastAsia" w:ascii="仿宋_GB2312" w:hAnsi="仿宋_GB2312" w:eastAsia="仿宋_GB2312" w:cs="仿宋_GB2312"/>
          <w:color w:val="auto"/>
          <w:sz w:val="32"/>
          <w:szCs w:val="32"/>
          <w:shd w:val="clear" w:fill="FFFFFF"/>
          <w:lang w:eastAsia="zh-CN"/>
        </w:rPr>
        <w:t>休闲绿道、登山步道沿线</w:t>
      </w:r>
      <w:r>
        <w:rPr>
          <w:rFonts w:hint="eastAsia" w:ascii="仿宋_GB2312" w:hAnsi="仿宋_GB2312" w:eastAsia="仿宋_GB2312" w:cs="仿宋_GB2312"/>
          <w:color w:val="auto"/>
          <w:sz w:val="32"/>
          <w:szCs w:val="32"/>
          <w:shd w:val="clear" w:fill="FFFFFF"/>
          <w:lang w:val="en-US" w:eastAsia="zh-CN"/>
        </w:rPr>
        <w:t>进行</w:t>
      </w:r>
      <w:r>
        <w:rPr>
          <w:rFonts w:hint="eastAsia" w:ascii="仿宋_GB2312" w:hAnsi="仿宋_GB2312" w:eastAsia="仿宋_GB2312" w:cs="仿宋_GB2312"/>
          <w:color w:val="auto"/>
          <w:sz w:val="32"/>
          <w:szCs w:val="32"/>
          <w:shd w:val="clear" w:fill="FFFFFF"/>
          <w:lang w:eastAsia="zh-CN"/>
        </w:rPr>
        <w:t>建房管理、发展产业以及各自辖区的停车场管理，严禁私批私建，特别是要组织依法打击机动车辆上绿道等破坏绿道、步道的行为，做好绿道卡口等维护工作，对登山步道维养和保洁工作</w:t>
      </w:r>
      <w:r>
        <w:rPr>
          <w:rFonts w:hint="eastAsia" w:ascii="仿宋_GB2312" w:hAnsi="仿宋_GB2312" w:eastAsia="仿宋_GB2312" w:cs="仿宋_GB2312"/>
          <w:color w:val="auto"/>
          <w:sz w:val="32"/>
          <w:szCs w:val="32"/>
          <w:shd w:val="clear" w:fill="FFFFFF"/>
          <w:lang w:val="en-US" w:eastAsia="zh-CN"/>
        </w:rPr>
        <w:t>。</w:t>
      </w:r>
    </w:p>
    <w:p w14:paraId="6F4F573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eastAsia="zh-CN"/>
        </w:rPr>
        <w:t>项目进行后社会效益显著</w:t>
      </w:r>
      <w:r>
        <w:rPr>
          <w:rFonts w:hint="eastAsia" w:ascii="仿宋_GB2312" w:hAnsi="仿宋_GB2312" w:eastAsia="仿宋_GB2312" w:cs="仿宋_GB2312"/>
          <w:color w:val="auto"/>
          <w:sz w:val="32"/>
          <w:szCs w:val="32"/>
          <w:shd w:val="clear" w:fill="FFFFFF"/>
          <w:lang w:eastAsia="zh-CN"/>
        </w:rPr>
        <w:t>，</w:t>
      </w:r>
      <w:r>
        <w:rPr>
          <w:rFonts w:hint="eastAsia" w:ascii="仿宋_GB2312" w:hAnsi="仿宋_GB2312" w:eastAsia="仿宋_GB2312" w:cs="仿宋_GB2312"/>
          <w:color w:val="auto"/>
          <w:sz w:val="32"/>
          <w:szCs w:val="32"/>
          <w:shd w:val="clear" w:fill="FFFFFF"/>
          <w:lang w:val="en-US" w:eastAsia="zh-CN"/>
        </w:rPr>
        <w:t>通过项目的实施</w:t>
      </w:r>
      <w:r>
        <w:rPr>
          <w:rFonts w:hint="eastAsia" w:ascii="仿宋_GB2312" w:hAnsi="仿宋_GB2312" w:eastAsia="仿宋_GB2312" w:cs="仿宋_GB2312"/>
          <w:color w:val="auto"/>
          <w:sz w:val="32"/>
          <w:szCs w:val="32"/>
          <w:shd w:val="clear" w:fill="FFFFFF"/>
          <w:lang w:eastAsia="zh-CN"/>
        </w:rPr>
        <w:t>对景区休闲绿道、登山步道进行了维护维修，改善景区绿道、步道周边环境，提升步道的安全性、通行便捷性，提升游客的游览舒适度，保障了</w:t>
      </w:r>
      <w:r>
        <w:rPr>
          <w:rFonts w:hint="eastAsia" w:ascii="仿宋_GB2312" w:hAnsi="仿宋_GB2312" w:eastAsia="仿宋_GB2312" w:cs="仿宋_GB2312"/>
          <w:color w:val="auto"/>
          <w:sz w:val="32"/>
          <w:szCs w:val="32"/>
          <w:shd w:val="clear" w:fill="FFFFFF"/>
          <w:lang w:val="en-US" w:eastAsia="zh-CN"/>
        </w:rPr>
        <w:t>景区</w:t>
      </w:r>
      <w:r>
        <w:rPr>
          <w:rFonts w:hint="eastAsia" w:ascii="仿宋_GB2312" w:hAnsi="仿宋_GB2312" w:eastAsia="仿宋_GB2312" w:cs="仿宋_GB2312"/>
          <w:color w:val="auto"/>
          <w:sz w:val="32"/>
          <w:szCs w:val="32"/>
          <w:shd w:val="clear" w:fill="FFFFFF"/>
          <w:lang w:eastAsia="zh-CN"/>
        </w:rPr>
        <w:t>绿道、步道持续运营。</w:t>
      </w:r>
    </w:p>
    <w:p w14:paraId="54AA18BA">
      <w:pPr>
        <w:shd w:val="clear"/>
        <w:spacing w:line="560" w:lineRule="exact"/>
        <w:ind w:firstLine="640" w:firstLineChars="200"/>
        <w:rPr>
          <w:rFonts w:hint="default" w:ascii="仿宋_GB2312" w:hAnsi="仿宋_GB2312" w:eastAsia="仿宋_GB2312" w:cs="仿宋_GB2312"/>
          <w:color w:val="auto"/>
          <w:kern w:val="0"/>
          <w:sz w:val="32"/>
          <w:szCs w:val="32"/>
          <w:shd w:val="clear" w:fill="FFFFFF"/>
          <w:lang w:val="en-US" w:eastAsia="zh-CN" w:bidi="ar-SA"/>
        </w:rPr>
      </w:pPr>
      <w:r>
        <w:rPr>
          <w:rFonts w:hint="eastAsia" w:ascii="仿宋_GB2312" w:hAnsi="仿宋_GB2312" w:eastAsia="仿宋_GB2312" w:cs="仿宋_GB2312"/>
          <w:color w:val="auto"/>
          <w:kern w:val="0"/>
          <w:sz w:val="32"/>
          <w:szCs w:val="32"/>
          <w:shd w:val="clear" w:fill="FFFFFF"/>
          <w:lang w:val="en-US" w:eastAsia="zh-CN" w:bidi="ar-SA"/>
        </w:rPr>
        <w:t>同时，评价还发现项目存在绩效目标管理未按政策文件要求具体落实，预算编制科学性待进一步提升，预算执行率不高，资金使用合规性不足合同管理规范性不足等问题，已督促项目单位根据相关报告回复整改意见，财政部门督促项目单位在以后年度项目实施过程中重点关注上述问题，形成结果应用。</w:t>
      </w:r>
    </w:p>
    <w:p w14:paraId="6414FA66">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（二）“人才专项</w:t>
      </w:r>
      <w:r>
        <w:rPr>
          <w:rFonts w:hint="eastAsia" w:ascii="楷体_GB2312" w:hAnsi="楷体_GB2312" w:eastAsia="楷体_GB2312" w:cs="楷体_GB2312"/>
          <w:b w:val="0"/>
          <w:bCs/>
          <w:color w:val="auto"/>
          <w:sz w:val="32"/>
          <w:szCs w:val="32"/>
          <w:lang w:val="en-US" w:eastAsia="zh-CN"/>
        </w:rPr>
        <w:t>”项目绩效执行结果</w:t>
      </w:r>
    </w:p>
    <w:p w14:paraId="4262284E">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该项目根据《黄石经济技术开发区•铁山区委人才工作领导小组关于加强产业“五高”人才奖补政策的通知》（黄开铁人才办[2022]3号）《黄石经济技术开发区•铁山区委人才工作领导小组关于加强产业“五高”人才队伍建设的若干措施的通知》（黄开铁人才[2024]2号）等文件精神，全面加强黄石经济技术开发区•铁山区人才专项管理工作，为黄石经济技术开发区•铁山区高质量发展提供强有力的人才支撑和智力支持。</w:t>
      </w:r>
    </w:p>
    <w:p w14:paraId="2502D6E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项目进行后社会效益显著，同时存在设置绩效目标指标不完整，支持企业“五高”人才引进的政策力度有待提高，</w:t>
      </w:r>
      <w:r>
        <w:rPr>
          <w:rFonts w:hint="default" w:ascii="仿宋_GB2312" w:hAnsi="仿宋_GB2312" w:eastAsia="仿宋_GB2312" w:cs="仿宋_GB2312"/>
          <w:color w:val="auto"/>
          <w:sz w:val="32"/>
          <w:szCs w:val="32"/>
          <w:shd w:val="clear" w:fill="FFFFFF"/>
          <w:lang w:val="en-US" w:eastAsia="zh-CN"/>
        </w:rPr>
        <w:t>“</w:t>
      </w:r>
      <w:r>
        <w:rPr>
          <w:rFonts w:hint="eastAsia" w:ascii="仿宋_GB2312" w:hAnsi="仿宋_GB2312" w:eastAsia="仿宋_GB2312" w:cs="仿宋_GB2312"/>
          <w:color w:val="auto"/>
          <w:sz w:val="32"/>
          <w:szCs w:val="32"/>
          <w:shd w:val="clear" w:fill="FFFFFF"/>
          <w:lang w:val="en-US" w:eastAsia="zh-CN"/>
        </w:rPr>
        <w:t>五高</w:t>
      </w:r>
      <w:r>
        <w:rPr>
          <w:rFonts w:hint="default" w:ascii="仿宋_GB2312" w:hAnsi="仿宋_GB2312" w:eastAsia="仿宋_GB2312" w:cs="仿宋_GB2312"/>
          <w:color w:val="auto"/>
          <w:sz w:val="32"/>
          <w:szCs w:val="32"/>
          <w:shd w:val="clear" w:fill="FFFFFF"/>
          <w:lang w:val="en-US" w:eastAsia="zh-CN"/>
        </w:rPr>
        <w:t>”</w:t>
      </w:r>
      <w:r>
        <w:rPr>
          <w:rFonts w:hint="eastAsia" w:ascii="仿宋_GB2312" w:hAnsi="仿宋_GB2312" w:eastAsia="仿宋_GB2312" w:cs="仿宋_GB2312"/>
          <w:color w:val="auto"/>
          <w:sz w:val="32"/>
          <w:szCs w:val="32"/>
          <w:shd w:val="clear" w:fill="FFFFFF"/>
          <w:lang w:val="en-US" w:eastAsia="zh-CN"/>
        </w:rPr>
        <w:t>人才奖补政策不完善等问题，已督促项目单位根据相关报告回复整改意见，财政部门督促项目单位在以后年度项目实施过程中重点关注上述问题，形成结果应用。</w:t>
      </w:r>
    </w:p>
    <w:p w14:paraId="29500E40">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（三）“社会化养老服务”项目绩效执行结果</w:t>
      </w:r>
    </w:p>
    <w:p w14:paraId="6FCA5FB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为积极应对人口老龄化，黄石经济技术开发区·铁山区民政</w:t>
      </w:r>
      <w:r>
        <w:rPr>
          <w:rFonts w:hint="default" w:ascii="仿宋_GB2312" w:hAnsi="仿宋_GB2312" w:eastAsia="仿宋_GB2312" w:cs="仿宋_GB2312"/>
          <w:color w:val="auto"/>
          <w:sz w:val="32"/>
          <w:szCs w:val="32"/>
          <w:shd w:val="clear" w:fill="FFFFFF"/>
          <w:lang w:val="en-US" w:eastAsia="zh-CN"/>
        </w:rPr>
        <w:t>局统筹推进居家和社区养老服务发展，完善养老服务工作体制机制，健全为老服务设施，探索推行“政府主导、社会参与、市场运作、多方共赢、可持续发展”的养老服务模式，全力守护幸福夕阳红</w:t>
      </w:r>
      <w:r>
        <w:rPr>
          <w:rFonts w:hint="eastAsia" w:ascii="仿宋_GB2312" w:hAnsi="仿宋_GB2312" w:eastAsia="仿宋_GB2312" w:cs="仿宋_GB2312"/>
          <w:color w:val="auto"/>
          <w:sz w:val="32"/>
          <w:szCs w:val="32"/>
          <w:shd w:val="clear" w:fill="FFFFFF"/>
          <w:lang w:val="en-US" w:eastAsia="zh-CN"/>
        </w:rPr>
        <w:t>。</w:t>
      </w:r>
    </w:p>
    <w:p w14:paraId="0C6D15F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该项目在做强社区和居家养老服务，提升机构养老服务补充能力，</w:t>
      </w:r>
      <w:r>
        <w:rPr>
          <w:rFonts w:hint="default" w:ascii="仿宋_GB2312" w:hAnsi="仿宋_GB2312" w:eastAsia="仿宋_GB2312" w:cs="仿宋_GB2312"/>
          <w:color w:val="auto"/>
          <w:sz w:val="32"/>
          <w:szCs w:val="32"/>
          <w:shd w:val="clear" w:fill="FFFFFF"/>
          <w:lang w:val="en-US" w:eastAsia="zh-CN"/>
        </w:rPr>
        <w:t>形成了具有黄石特色的“政府主导、社会参与、公办民办并举” 的养老服务供给模式，建立起了居家、社区、机构相协调多元化多层次可持续的养老服务体系</w:t>
      </w:r>
      <w:r>
        <w:rPr>
          <w:rFonts w:hint="eastAsia" w:ascii="仿宋_GB2312" w:hAnsi="仿宋_GB2312" w:eastAsia="仿宋_GB2312" w:cs="仿宋_GB2312"/>
          <w:color w:val="auto"/>
          <w:sz w:val="32"/>
          <w:szCs w:val="32"/>
          <w:shd w:val="clear" w:fill="FFFFFF"/>
          <w:lang w:val="en-US" w:eastAsia="zh-CN"/>
        </w:rPr>
        <w:t>，提升了养老服务可及性与可负担性，保障基本民生，促进养老行业健康发展，提高了养老机构和服务中心运营服务水平。</w:t>
      </w:r>
    </w:p>
    <w:p w14:paraId="7041C0D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 xml:space="preserve">同时，评价还发现项目存在项目绩效目标设计的科学性、针对性有待提高，部分 </w:t>
      </w:r>
      <w:r>
        <w:rPr>
          <w:rFonts w:hint="default" w:ascii="仿宋_GB2312" w:hAnsi="仿宋_GB2312" w:eastAsia="仿宋_GB2312" w:cs="仿宋_GB2312"/>
          <w:color w:val="auto"/>
          <w:sz w:val="32"/>
          <w:szCs w:val="32"/>
          <w:shd w:val="clear" w:fill="FFFFFF"/>
          <w:lang w:val="en-US" w:eastAsia="zh-CN"/>
        </w:rPr>
        <w:t>绩效指标缺乏清晰可衡量的指标值</w:t>
      </w:r>
      <w:r>
        <w:rPr>
          <w:rFonts w:hint="eastAsia" w:ascii="仿宋_GB2312" w:hAnsi="仿宋_GB2312" w:eastAsia="仿宋_GB2312" w:cs="仿宋_GB2312"/>
          <w:color w:val="auto"/>
          <w:sz w:val="32"/>
          <w:szCs w:val="32"/>
          <w:shd w:val="clear" w:fill="FFFFFF"/>
          <w:lang w:val="en-US" w:eastAsia="zh-CN"/>
        </w:rPr>
        <w:t>，预算资金跨年度调剂使用，部分社区居家养老服务中心经费不足等问题，已督促项目单位根据相关报告回复整改意见，财政部门督促项目单位在以后年度项目实施过程中重点关注上述问题，形成结果应用。</w:t>
      </w:r>
    </w:p>
    <w:p w14:paraId="1ABB5669">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（四）</w:t>
      </w:r>
      <w:r>
        <w:rPr>
          <w:rFonts w:hint="default" w:ascii="楷体_GB2312" w:hAnsi="楷体_GB2312" w:eastAsia="楷体_GB2312" w:cs="楷体_GB2312"/>
          <w:b w:val="0"/>
          <w:bCs/>
          <w:color w:val="auto"/>
          <w:sz w:val="32"/>
          <w:szCs w:val="32"/>
          <w:lang w:val="en-US" w:eastAsia="zh-CN"/>
        </w:rPr>
        <w:t>“</w:t>
      </w:r>
      <w:r>
        <w:rPr>
          <w:rFonts w:hint="eastAsia" w:ascii="楷体_GB2312" w:hAnsi="楷体_GB2312" w:eastAsia="楷体_GB2312" w:cs="楷体_GB2312"/>
          <w:b w:val="0"/>
          <w:bCs/>
          <w:color w:val="auto"/>
          <w:sz w:val="32"/>
          <w:szCs w:val="32"/>
          <w:lang w:val="en-US" w:eastAsia="zh-CN"/>
        </w:rPr>
        <w:t>政法维稳专项</w:t>
      </w:r>
      <w:r>
        <w:rPr>
          <w:rFonts w:hint="default" w:ascii="楷体_GB2312" w:hAnsi="楷体_GB2312" w:eastAsia="楷体_GB2312" w:cs="楷体_GB2312"/>
          <w:b w:val="0"/>
          <w:bCs/>
          <w:color w:val="auto"/>
          <w:sz w:val="32"/>
          <w:szCs w:val="32"/>
          <w:lang w:val="en-US" w:eastAsia="zh-CN"/>
        </w:rPr>
        <w:t>”</w:t>
      </w:r>
      <w:r>
        <w:rPr>
          <w:rFonts w:hint="eastAsia" w:ascii="楷体_GB2312" w:hAnsi="楷体_GB2312" w:eastAsia="楷体_GB2312" w:cs="楷体_GB2312"/>
          <w:b w:val="0"/>
          <w:bCs/>
          <w:color w:val="auto"/>
          <w:sz w:val="32"/>
          <w:szCs w:val="32"/>
          <w:lang w:val="en-US" w:eastAsia="zh-CN"/>
        </w:rPr>
        <w:t>项目绩效执行结果</w:t>
      </w:r>
    </w:p>
    <w:p w14:paraId="7B1F21D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该项目</w:t>
      </w:r>
      <w:r>
        <w:rPr>
          <w:rFonts w:hint="default" w:ascii="仿宋_GB2312" w:hAnsi="仿宋_GB2312" w:eastAsia="仿宋_GB2312" w:cs="仿宋_GB2312"/>
          <w:color w:val="auto"/>
          <w:sz w:val="32"/>
          <w:szCs w:val="32"/>
          <w:shd w:val="clear" w:fill="FFFFFF"/>
          <w:lang w:val="en-US" w:eastAsia="zh-CN"/>
        </w:rPr>
        <w:t>项目立项符合法律法规、相关政策、发展规划以及部门职责，立项程序规范，绩效目标较为合理，</w:t>
      </w:r>
      <w:r>
        <w:rPr>
          <w:rFonts w:hint="eastAsia" w:ascii="仿宋_GB2312" w:hAnsi="仿宋_GB2312" w:eastAsia="仿宋_GB2312" w:cs="仿宋_GB2312"/>
          <w:color w:val="auto"/>
          <w:sz w:val="32"/>
          <w:szCs w:val="32"/>
          <w:shd w:val="clear" w:fill="FFFFFF"/>
          <w:lang w:val="en-US" w:eastAsia="zh-CN"/>
        </w:rPr>
        <w:t>绩效指标较为明确，有效预防和化解各类社会矛盾，减少群体性事件、治安案件等不稳定因素，为民众创造安全的生活环境，维护社会秩序正常运行，确保交通、公共设施、社区管理等基础社会功能稳定发挥。营造稳定发展环境，增强企业投资信心，促进生产经营活动有序开展，推动经济持续增长，提升了民众安全感与幸福感，让民众在生活、工作中更有安全感，提升对社会治理的满意度。</w:t>
      </w:r>
    </w:p>
    <w:p w14:paraId="2DD2819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同时，评价还发现项目资金分配不合理，镇级财务审批程序不够完善，大额支出费用不够明晰，附件不够完整，群众满意度不高等问题，已督促项目单位根据相关报告回复整改意见，财政部门督促项目单位在以后年度项目实施过程中重点关注上述问题，形成结果应用。</w:t>
      </w:r>
    </w:p>
    <w:p w14:paraId="7623E368">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highlight w:val="none"/>
          <w:lang w:val="en-US" w:eastAsia="zh-CN"/>
        </w:rPr>
        <w:t>（五）“巩固拓展脱贫攻坚成果衔接推进乡村振兴”项</w:t>
      </w:r>
      <w:r>
        <w:rPr>
          <w:rFonts w:hint="eastAsia" w:ascii="楷体_GB2312" w:hAnsi="楷体_GB2312" w:eastAsia="楷体_GB2312" w:cs="楷体_GB2312"/>
          <w:b w:val="0"/>
          <w:bCs/>
          <w:color w:val="auto"/>
          <w:sz w:val="32"/>
          <w:szCs w:val="32"/>
          <w:lang w:val="en-US" w:eastAsia="zh-CN"/>
        </w:rPr>
        <w:t>目绩效执行结果</w:t>
      </w:r>
    </w:p>
    <w:p w14:paraId="38D6564A">
      <w:pPr>
        <w:spacing w:line="560" w:lineRule="exact"/>
        <w:ind w:firstLine="640" w:firstLineChars="200"/>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巩固拓展脱贫攻坚成果衔接推进乡村振兴项目”的实施，开展了防返贫集中排查和监测数据比对，全部落实跟踪帮扶措施，消除风险。着力保障脱贫人口稳岗就业，支持脱贫人口和监测对象发展产业，持续增收。积极推进示范村、示范带建设，带动“清洁家园”行动全面开展。</w:t>
      </w:r>
      <w:r>
        <w:rPr>
          <w:rFonts w:hint="eastAsia" w:ascii="仿宋_GB2312" w:hAnsi="仿宋_GB2312" w:eastAsia="仿宋_GB2312" w:cs="仿宋_GB2312"/>
          <w:b w:val="0"/>
          <w:bCs w:val="0"/>
          <w:color w:val="auto"/>
          <w:sz w:val="32"/>
          <w:szCs w:val="32"/>
          <w:lang w:val="en-US" w:eastAsia="zh-CN"/>
        </w:rPr>
        <w:t>积极推进示范村、示范带建设，带动“清洁家园”行动全面开展。打造</w:t>
      </w:r>
      <w:r>
        <w:rPr>
          <w:rFonts w:hint="eastAsia" w:ascii="仿宋_GB2312" w:hAnsi="仿宋_GB2312" w:eastAsia="仿宋_GB2312" w:cs="仿宋_GB2312"/>
          <w:sz w:val="32"/>
          <w:szCs w:val="32"/>
          <w:highlight w:val="none"/>
          <w:lang w:val="en-US" w:eastAsia="zh-CN"/>
        </w:rPr>
        <w:t>“世英做法”，“美丽滨湖”等示范点，建成太子镇</w:t>
      </w:r>
      <w:r>
        <w:rPr>
          <w:rFonts w:hint="eastAsia" w:ascii="仿宋_GB2312" w:hAnsi="仿宋_GB2312" w:eastAsia="仿宋_GB2312" w:cs="仿宋_GB2312"/>
          <w:sz w:val="32"/>
          <w:szCs w:val="32"/>
          <w:lang w:val="en-US" w:eastAsia="zh-CN"/>
        </w:rPr>
        <w:t>父子山绿道和美乡村示范带一个</w:t>
      </w:r>
      <w:r>
        <w:rPr>
          <w:rFonts w:hint="eastAsia" w:ascii="仿宋_GB2312" w:hAnsi="仿宋_GB2312" w:eastAsia="仿宋_GB2312" w:cs="仿宋_GB2312"/>
          <w:color w:val="auto"/>
          <w:sz w:val="32"/>
          <w:szCs w:val="32"/>
          <w:shd w:val="clear" w:fill="FFFFFF"/>
          <w:lang w:val="en-US" w:eastAsia="zh-CN"/>
        </w:rPr>
        <w:t>，</w:t>
      </w:r>
      <w:r>
        <w:rPr>
          <w:rFonts w:hint="eastAsia" w:ascii="仿宋_GB2312" w:hAnsi="仿宋_GB2312" w:eastAsia="仿宋_GB2312" w:cs="仿宋_GB2312"/>
          <w:sz w:val="32"/>
          <w:szCs w:val="32"/>
        </w:rPr>
        <w:t>倡导保护农田，杜绝撂荒，提高农户耕地保护和粮食安全意识，切实做好粮食生产，</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共整治撂荒地66处1104.49亩。完成了大冶市移交</w:t>
      </w:r>
      <w:r>
        <w:rPr>
          <w:rFonts w:hint="eastAsia" w:ascii="仿宋_GB2312" w:hAnsi="仿宋_GB2312" w:eastAsia="仿宋_GB2312" w:cs="仿宋_GB2312"/>
          <w:sz w:val="32"/>
          <w:szCs w:val="32"/>
          <w:lang w:val="en-US" w:eastAsia="zh-CN"/>
        </w:rPr>
        <w:t>铁山</w:t>
      </w:r>
      <w:r>
        <w:rPr>
          <w:rFonts w:hint="eastAsia" w:ascii="仿宋_GB2312" w:hAnsi="仿宋_GB2312" w:eastAsia="仿宋_GB2312" w:cs="仿宋_GB2312"/>
          <w:sz w:val="32"/>
          <w:szCs w:val="32"/>
        </w:rPr>
        <w:t>区的金山街道、汪仁镇360个农村乱占耕地建房住宅类房屋违法图斑整治</w:t>
      </w:r>
      <w:r>
        <w:rPr>
          <w:rFonts w:hint="eastAsia" w:ascii="仿宋_GB2312" w:hAnsi="仿宋_GB2312" w:eastAsia="仿宋_GB2312" w:cs="仿宋_GB2312"/>
          <w:sz w:val="32"/>
          <w:szCs w:val="32"/>
          <w:lang w:eastAsia="zh-CN"/>
        </w:rPr>
        <w:t>，通过了农业农村部验收，</w:t>
      </w:r>
      <w:r>
        <w:rPr>
          <w:rFonts w:hint="eastAsia" w:ascii="仿宋_GB2312" w:hAnsi="仿宋_GB2312" w:eastAsia="仿宋_GB2312" w:cs="仿宋_GB2312"/>
          <w:color w:val="auto"/>
          <w:sz w:val="32"/>
          <w:szCs w:val="32"/>
          <w:shd w:val="clear" w:fill="FFFFFF"/>
          <w:lang w:val="en-US" w:eastAsia="zh-CN"/>
        </w:rPr>
        <w:t>加强水库、泵站、涵闸等水利工程的检修养护，强化运行监管，严格风险管控，确保工程安全平稳运行。为辖区内企业及项目业主提供满意的服务，完成市政府下达的各项工作任务，壮大开发区企业圈，促进开发区高质量发展。</w:t>
      </w:r>
    </w:p>
    <w:p w14:paraId="3B42793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kern w:val="2"/>
          <w:sz w:val="32"/>
          <w:szCs w:val="32"/>
          <w:shd w:val="clear" w:fill="FFFFFF"/>
          <w:lang w:val="en-US" w:eastAsia="zh-CN" w:bidi="ar-SA"/>
        </w:rPr>
      </w:pPr>
      <w:r>
        <w:rPr>
          <w:rFonts w:hint="eastAsia" w:ascii="仿宋_GB2312" w:hAnsi="仿宋_GB2312" w:eastAsia="仿宋_GB2312" w:cs="仿宋_GB2312"/>
          <w:color w:val="auto"/>
          <w:kern w:val="2"/>
          <w:sz w:val="32"/>
          <w:szCs w:val="32"/>
          <w:shd w:val="clear" w:fill="FFFFFF"/>
          <w:lang w:val="en-US" w:eastAsia="zh-CN" w:bidi="ar-SA"/>
        </w:rPr>
        <w:t>同时，评价还发现项目存在耕地保护责任落实还不够到位，部分项目后续管理不到位，和美乡村氛围不浓，乡村振兴项目的实施对经济的拉动作用不明显，财务管理待进一步加强，项目管理未进行归口统一管理等问题，已督促项目单位根据相关报告回复整改意见，财政部门督促项目单位在以后年度项目实施过程中重点关注上述问题，形成结果应用。</w:t>
      </w:r>
    </w:p>
    <w:p w14:paraId="672555D7">
      <w:pPr>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（六）“区经信局部门整体支出绩效评价”项目绩效执行结果</w:t>
      </w:r>
    </w:p>
    <w:p w14:paraId="53FD077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区经信局2024年紧紧围绕部门工作要点开展工作，不断提升预算管理体系科学化水平，预算目标设置紧紧围绕部门职能，战略管理到位。省级专精特新创建、省级绿色工厂、对辖区内工业规上企业进行安全生产检查、双千解决问题、开展涉企政策宣传、培训活动等指标圆满完成，部门履职情况较好，对辖区经济带来了积极影响，推进了辖区企业高质量发展，提升了辖区经济实力，扩大了影响力。</w:t>
      </w:r>
    </w:p>
    <w:p w14:paraId="520DF9F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同时，评价还发现存在部门预算编制不科学、未编制部门整体绩效目标，绩效管理有欠缺等问题，已督促项目单位根据相关报告回复整改意见，财政部门督促项目单位在以后年度项目实施过程中重点关注上述问题，形成结果应用。</w:t>
      </w:r>
    </w:p>
    <w:p w14:paraId="3BFF9084">
      <w:pPr>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（七）“湿地公园鹿獐山大道立面整治项目”绩效执行结果</w:t>
      </w:r>
    </w:p>
    <w:p w14:paraId="19CE2A9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该项目决策情况，立项总体符合国家法律法规，符合行业发展规划和政策要求，与项目实施单位职责密切相关，属于专项债支持范围。项目进行后社会效益明显。改造排水管网，补齐市政短板。盘活城市资产、推动经济转型。弱电入地及绿化提档、人行道改造、公园园林维修改造等，有助于落实“决不把污泥浊水、违法建筑、脏乱差环境带入全面小康社会”的要求，回应市民期盼、提高人民群众获得感和幸福感，具有明显的公益性，项目的实施对于改善黄石市开发区城市市容，提高卫生水平，保障人民身体健康有着积极的促进作用，服务对象满意度较高。</w:t>
      </w:r>
    </w:p>
    <w:p w14:paraId="64F6898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同时，评价还发现项目存在项目转贷资金流出有待规范，项目转贷资金核算有待规范，工程竣工验收不严谨，个别子项目后续管理落实不足等问题，已督促项目单位根据相关报告回复整改意见，财政部门督促项目单位在以后年度项目实施过程中重点关注上述问题，形成结果应用。</w:t>
      </w:r>
    </w:p>
    <w:p w14:paraId="129F57EC">
      <w:pPr>
        <w:pageBreakBefore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（八）“征地和拆迁补偿过渡费项目”绩效执行结果</w:t>
      </w:r>
    </w:p>
    <w:p w14:paraId="1C3D44F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征地和拆迁补偿过渡费项目的，旨在通过规范、及时、足额发放过渡费用，切实保障被征地拆迁群众在安置过渡期的基本生活权益，解决其因房屋拆迁导致的临时居住、生活成本增加等实际困难，避免因征地拆迁引发民生问题和社会矛盾。同时，该项目作为区域开发建设的基础性保障举措，能够为征地拆迁工作的顺利推进扫清障碍，为开发区・铁山区的产业升级、基础设施建设、城市更新等重点项目实施提供前置支撑，确保土地资源依法合规高效利用，助力区域经济社会高质量发展。通过明确过渡费发放标准、流程和监管机制，实现 “保障民生、服务发展、规范管理” 的多重目标，为区域开发建设与民生改善的良性互动奠定坚实基础。</w:t>
      </w:r>
    </w:p>
    <w:p w14:paraId="7FAACD4A">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同时，评价还发现项目存在绩效目标设定不清晰、可衡量性不足，过程管理监控不到位等问题，已督促项目单位根据相关报告回复整改意见，财政部门督促项目单位在以后年度项目实施过程中重点关注上述问题，形成结果应用。</w:t>
      </w:r>
    </w:p>
    <w:p w14:paraId="44E2F90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（九）</w:t>
      </w:r>
      <w:r>
        <w:rPr>
          <w:rFonts w:hint="eastAsia" w:ascii="楷体_GB2312" w:hAnsi="楷体_GB2312" w:eastAsia="楷体_GB2312" w:cs="楷体_GB2312"/>
          <w:b w:val="0"/>
          <w:bCs/>
          <w:color w:val="auto"/>
          <w:kern w:val="2"/>
          <w:sz w:val="32"/>
          <w:szCs w:val="32"/>
          <w:lang w:val="en-US" w:eastAsia="zh-CN" w:bidi="ar-SA"/>
        </w:rPr>
        <w:t>“省重点产业创新发展专项资金”绩效执行结果</w:t>
      </w:r>
    </w:p>
    <w:p w14:paraId="1BF4158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color w:val="auto"/>
          <w:sz w:val="32"/>
          <w:szCs w:val="32"/>
          <w:shd w:val="clear" w:fill="FFFFFF"/>
          <w:lang w:val="en-US" w:eastAsia="zh-CN"/>
        </w:rPr>
        <w:t xml:space="preserve">黄石经济技术开发区·铁山区 </w:t>
      </w:r>
      <w:r>
        <w:rPr>
          <w:rFonts w:hint="default" w:ascii="仿宋_GB2312" w:hAnsi="仿宋_GB2312" w:eastAsia="仿宋_GB2312" w:cs="仿宋_GB2312"/>
          <w:color w:val="auto"/>
          <w:sz w:val="32"/>
          <w:szCs w:val="32"/>
          <w:shd w:val="clear" w:fill="FFFFFF"/>
          <w:lang w:val="en-US" w:eastAsia="zh-CN"/>
        </w:rPr>
        <w:t xml:space="preserve">2022 </w:t>
      </w:r>
      <w:r>
        <w:rPr>
          <w:rFonts w:hint="eastAsia" w:ascii="仿宋_GB2312" w:hAnsi="仿宋_GB2312" w:eastAsia="仿宋_GB2312" w:cs="仿宋_GB2312"/>
          <w:color w:val="auto"/>
          <w:sz w:val="32"/>
          <w:szCs w:val="32"/>
          <w:shd w:val="clear" w:fill="FFFFFF"/>
          <w:lang w:val="en-US" w:eastAsia="zh-CN"/>
        </w:rPr>
        <w:t xml:space="preserve">年度省重点产业创新发展专项资根据《湖北省重点产业创新发展专项资金管理办法》和《重点产业创新发展试点示范工作指南》，由黄石经济技术开发区·铁山区财政局在 </w:t>
      </w:r>
      <w:r>
        <w:rPr>
          <w:rFonts w:hint="default" w:ascii="仿宋_GB2312" w:hAnsi="仿宋_GB2312" w:eastAsia="仿宋_GB2312" w:cs="仿宋_GB2312"/>
          <w:color w:val="auto"/>
          <w:sz w:val="32"/>
          <w:szCs w:val="32"/>
          <w:shd w:val="clear" w:fill="FFFFFF"/>
          <w:lang w:val="en-US" w:eastAsia="zh-CN"/>
        </w:rPr>
        <w:t xml:space="preserve">2021-2022 </w:t>
      </w:r>
      <w:r>
        <w:rPr>
          <w:rFonts w:hint="eastAsia" w:ascii="仿宋_GB2312" w:hAnsi="仿宋_GB2312" w:eastAsia="仿宋_GB2312" w:cs="仿宋_GB2312"/>
          <w:color w:val="auto"/>
          <w:sz w:val="32"/>
          <w:szCs w:val="32"/>
          <w:shd w:val="clear" w:fill="FFFFFF"/>
          <w:lang w:val="en-US" w:eastAsia="zh-CN"/>
        </w:rPr>
        <w:t xml:space="preserve">年连续 </w:t>
      </w:r>
      <w:r>
        <w:rPr>
          <w:rFonts w:hint="default" w:ascii="仿宋_GB2312" w:hAnsi="仿宋_GB2312" w:eastAsia="仿宋_GB2312" w:cs="仿宋_GB2312"/>
          <w:color w:val="auto"/>
          <w:sz w:val="32"/>
          <w:szCs w:val="32"/>
          <w:shd w:val="clear" w:fill="FFFFFF"/>
          <w:lang w:val="en-US" w:eastAsia="zh-CN"/>
        </w:rPr>
        <w:t xml:space="preserve">2 </w:t>
      </w:r>
      <w:r>
        <w:rPr>
          <w:rFonts w:hint="eastAsia" w:ascii="仿宋_GB2312" w:hAnsi="仿宋_GB2312" w:eastAsia="仿宋_GB2312" w:cs="仿宋_GB2312"/>
          <w:color w:val="auto"/>
          <w:sz w:val="32"/>
          <w:szCs w:val="32"/>
          <w:shd w:val="clear" w:fill="FFFFFF"/>
          <w:lang w:val="en-US" w:eastAsia="zh-CN"/>
        </w:rPr>
        <w:t>年向湖北省财政厅申报的专项资金。我区结合产业发展需要，建设武汉大 学（黄石）电子信息研究中心检测中心项目，打造公共服务 平台，帮企业降本增效，提升产业竞争力，实现区域内良性发展。</w:t>
      </w:r>
    </w:p>
    <w:p w14:paraId="7FF44C69">
      <w:pPr>
        <w:keepNext w:val="0"/>
        <w:keepLines w:val="0"/>
        <w:widowControl/>
        <w:suppressLineNumbers w:val="0"/>
        <w:ind w:firstLine="640" w:firstLineChars="200"/>
        <w:jc w:val="left"/>
        <w:rPr>
          <w:rFonts w:hint="default" w:ascii="仿宋_GB2312" w:hAnsi="仿宋_GB2312" w:eastAsia="仿宋_GB2312" w:cs="仿宋_GB2312"/>
          <w:color w:val="auto"/>
          <w:sz w:val="32"/>
          <w:szCs w:val="32"/>
          <w:shd w:val="clear" w:fill="FFFFFF"/>
          <w:lang w:val="en-US" w:eastAsia="zh-CN"/>
        </w:rPr>
      </w:pPr>
      <w:r>
        <w:rPr>
          <w:rFonts w:hint="eastAsia" w:ascii="仿宋_GB2312" w:hAnsi="仿宋_GB2312" w:eastAsia="仿宋_GB2312" w:cs="仿宋_GB2312"/>
          <w:b w:val="0"/>
          <w:bCs w:val="0"/>
          <w:color w:val="auto"/>
          <w:kern w:val="2"/>
          <w:sz w:val="32"/>
          <w:szCs w:val="24"/>
          <w:lang w:val="en-US" w:eastAsia="zh-CN" w:bidi="ar-SA"/>
        </w:rPr>
        <w:t>同时，评价还发现项目存在政策实施时效性不足，绩效指标的科学性不足，下属研究中心检测中心的业务不饱和，设备产能利用不充分到位等问题，已督促项目单位根据相关报告回复整改意见，财政部门督促项目单位在以后年度项目实施过程中重点关注上述问题，形成结果应用。</w:t>
      </w:r>
    </w:p>
    <w:p w14:paraId="2DC5E926">
      <w:pPr>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三</w:t>
      </w:r>
      <w:r>
        <w:rPr>
          <w:rFonts w:hint="eastAsia" w:ascii="黑体" w:hAnsi="黑体" w:eastAsia="黑体" w:cs="黑体"/>
          <w:b w:val="0"/>
          <w:bCs w:val="0"/>
          <w:color w:val="auto"/>
          <w:sz w:val="32"/>
          <w:szCs w:val="32"/>
        </w:rPr>
        <w:t>、202</w:t>
      </w:r>
      <w:r>
        <w:rPr>
          <w:rFonts w:hint="eastAsia" w:ascii="黑体" w:hAnsi="黑体" w:eastAsia="黑体" w:cs="黑体"/>
          <w:b w:val="0"/>
          <w:bCs w:val="0"/>
          <w:color w:val="auto"/>
          <w:sz w:val="32"/>
          <w:szCs w:val="32"/>
          <w:lang w:val="en-US" w:eastAsia="zh-CN"/>
        </w:rPr>
        <w:t>6</w:t>
      </w:r>
      <w:r>
        <w:rPr>
          <w:rFonts w:hint="eastAsia" w:ascii="黑体" w:hAnsi="黑体" w:eastAsia="黑体" w:cs="黑体"/>
          <w:b w:val="0"/>
          <w:bCs w:val="0"/>
          <w:color w:val="auto"/>
          <w:sz w:val="32"/>
          <w:szCs w:val="32"/>
        </w:rPr>
        <w:t>年预算绩效工作重点</w:t>
      </w:r>
    </w:p>
    <w:p w14:paraId="29058E3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24"/>
          <w:lang w:val="en-US" w:eastAsia="zh-CN" w:bidi="ar-SA"/>
        </w:rPr>
      </w:pPr>
      <w:r>
        <w:rPr>
          <w:rFonts w:hint="eastAsia" w:ascii="楷体_GB2312" w:hAnsi="楷体_GB2312" w:eastAsia="楷体_GB2312" w:cs="楷体_GB2312"/>
          <w:b w:val="0"/>
          <w:bCs w:val="0"/>
          <w:color w:val="auto"/>
          <w:kern w:val="2"/>
          <w:sz w:val="32"/>
          <w:szCs w:val="24"/>
          <w:lang w:val="en-US" w:eastAsia="zh-CN" w:bidi="ar-SA"/>
        </w:rPr>
        <w:t>（一）进一步树牢绩效管理理念。</w:t>
      </w:r>
      <w:r>
        <w:rPr>
          <w:rFonts w:hint="eastAsia" w:ascii="仿宋_GB2312" w:hAnsi="仿宋_GB2312" w:eastAsia="仿宋_GB2312" w:cs="仿宋_GB2312"/>
          <w:b w:val="0"/>
          <w:bCs w:val="0"/>
          <w:color w:val="auto"/>
          <w:kern w:val="2"/>
          <w:sz w:val="32"/>
          <w:szCs w:val="24"/>
          <w:lang w:val="en-US" w:eastAsia="zh-CN" w:bidi="ar-SA"/>
        </w:rPr>
        <w:t>牢固树立“花钱必问效，无效必问责”的绩效管理理念。严格绩效目标设置作为预算资金安排的前提条件，进一步优化部门整体和项目预算绩效指标体系，不断提高预算绩效管理科学化、规范化水平。 </w:t>
      </w:r>
    </w:p>
    <w:p w14:paraId="7588485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24"/>
          <w:lang w:val="en-US" w:eastAsia="zh-CN" w:bidi="ar-SA"/>
        </w:rPr>
      </w:pPr>
      <w:r>
        <w:rPr>
          <w:rFonts w:hint="eastAsia" w:ascii="楷体_GB2312" w:hAnsi="楷体_GB2312" w:eastAsia="楷体_GB2312" w:cs="楷体_GB2312"/>
          <w:b w:val="0"/>
          <w:bCs w:val="0"/>
          <w:color w:val="auto"/>
          <w:kern w:val="2"/>
          <w:sz w:val="32"/>
          <w:szCs w:val="24"/>
          <w:lang w:val="en-US" w:eastAsia="zh-CN" w:bidi="ar-SA"/>
        </w:rPr>
        <w:t>（二）进一步优化绩效评价体系建设。</w:t>
      </w:r>
      <w:r>
        <w:rPr>
          <w:rFonts w:hint="eastAsia" w:ascii="仿宋_GB2312" w:hAnsi="仿宋_GB2312" w:eastAsia="仿宋_GB2312" w:cs="仿宋_GB2312"/>
          <w:b w:val="0"/>
          <w:bCs w:val="0"/>
          <w:color w:val="auto"/>
          <w:kern w:val="2"/>
          <w:sz w:val="32"/>
          <w:szCs w:val="24"/>
          <w:lang w:val="en-US" w:eastAsia="zh-CN" w:bidi="ar-SA"/>
        </w:rPr>
        <w:t>各部门结合本行业实际情况，完善绩效评估评价体系，从数量、质量、时效、成本、社会效益和生态效益等方面科学设置符合本行业特点的绩效目标，使绩效目标成体系、可量化、可考核，提高绩效结果的客观性和准确性。</w:t>
      </w:r>
    </w:p>
    <w:p w14:paraId="44DABF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24"/>
          <w:lang w:val="en-US" w:eastAsia="zh-CN" w:bidi="ar-SA"/>
        </w:rPr>
      </w:pPr>
      <w:r>
        <w:rPr>
          <w:rFonts w:hint="eastAsia" w:ascii="楷体_GB2312" w:hAnsi="楷体_GB2312" w:eastAsia="楷体_GB2312" w:cs="楷体_GB2312"/>
          <w:b w:val="0"/>
          <w:bCs w:val="0"/>
          <w:color w:val="auto"/>
          <w:kern w:val="2"/>
          <w:sz w:val="32"/>
          <w:szCs w:val="24"/>
          <w:lang w:val="en-US" w:eastAsia="zh-CN" w:bidi="ar-SA"/>
        </w:rPr>
        <w:t>（三）强化绩效评价结果应用。</w:t>
      </w:r>
      <w:r>
        <w:rPr>
          <w:rFonts w:hint="eastAsia" w:ascii="仿宋_GB2312" w:hAnsi="仿宋_GB2312" w:eastAsia="仿宋_GB2312" w:cs="仿宋_GB2312"/>
          <w:b/>
          <w:bCs/>
          <w:color w:val="auto"/>
          <w:kern w:val="2"/>
          <w:sz w:val="32"/>
          <w:szCs w:val="24"/>
          <w:lang w:val="en-US" w:eastAsia="zh-CN" w:bidi="ar-SA"/>
        </w:rPr>
        <w:t>一是</w:t>
      </w:r>
      <w:r>
        <w:rPr>
          <w:rFonts w:hint="eastAsia" w:ascii="仿宋_GB2312" w:hAnsi="仿宋_GB2312" w:eastAsia="仿宋_GB2312" w:cs="仿宋_GB2312"/>
          <w:b w:val="0"/>
          <w:bCs w:val="0"/>
          <w:color w:val="auto"/>
          <w:kern w:val="2"/>
          <w:sz w:val="32"/>
          <w:szCs w:val="24"/>
          <w:lang w:val="en-US" w:eastAsia="zh-CN" w:bidi="ar-SA"/>
        </w:rPr>
        <w:t>将绩效评价结果向政府、人大汇报，为政府决策和人大监督提供依据。</w:t>
      </w:r>
      <w:r>
        <w:rPr>
          <w:rFonts w:hint="eastAsia" w:ascii="仿宋_GB2312" w:hAnsi="仿宋_GB2312" w:eastAsia="仿宋_GB2312" w:cs="仿宋_GB2312"/>
          <w:b/>
          <w:bCs/>
          <w:color w:val="auto"/>
          <w:kern w:val="2"/>
          <w:sz w:val="32"/>
          <w:szCs w:val="24"/>
          <w:lang w:val="en-US" w:eastAsia="zh-CN" w:bidi="ar-SA"/>
        </w:rPr>
        <w:t>二是</w:t>
      </w:r>
      <w:r>
        <w:rPr>
          <w:rFonts w:hint="eastAsia" w:ascii="仿宋_GB2312" w:hAnsi="仿宋_GB2312" w:eastAsia="仿宋_GB2312" w:cs="仿宋_GB2312"/>
          <w:b w:val="0"/>
          <w:bCs w:val="0"/>
          <w:color w:val="auto"/>
          <w:kern w:val="2"/>
          <w:sz w:val="32"/>
          <w:szCs w:val="24"/>
          <w:lang w:val="en-US" w:eastAsia="zh-CN" w:bidi="ar-SA"/>
        </w:rPr>
        <w:t>将绩效评价结果及时反馈给项目执行单位，督促单位及时整改，提高其预算管理水平。</w:t>
      </w:r>
      <w:r>
        <w:rPr>
          <w:rFonts w:hint="eastAsia" w:ascii="仿宋_GB2312" w:hAnsi="仿宋_GB2312" w:eastAsia="仿宋_GB2312" w:cs="仿宋_GB2312"/>
          <w:b/>
          <w:bCs/>
          <w:color w:val="auto"/>
          <w:kern w:val="2"/>
          <w:sz w:val="32"/>
          <w:szCs w:val="24"/>
          <w:lang w:val="en-US" w:eastAsia="zh-CN" w:bidi="ar-SA"/>
        </w:rPr>
        <w:t>三是</w:t>
      </w:r>
      <w:r>
        <w:rPr>
          <w:rFonts w:hint="eastAsia" w:ascii="仿宋_GB2312" w:hAnsi="仿宋_GB2312" w:eastAsia="仿宋_GB2312" w:cs="仿宋_GB2312"/>
          <w:b w:val="0"/>
          <w:bCs w:val="0"/>
          <w:color w:val="auto"/>
          <w:kern w:val="2"/>
          <w:sz w:val="32"/>
          <w:szCs w:val="24"/>
          <w:lang w:val="en-US" w:eastAsia="zh-CN" w:bidi="ar-SA"/>
        </w:rPr>
        <w:t>推进绩效评价结果公开。督促各部门随同决算公开同时公开绩效评价结果，接受社会监督。四是加强绩效评价结果与预算安排相结合，绩效评价结果为优或良的，下一预算年度优先保障该项目资金预算，绩效评价结果为差的，下一预算年度采取调整支出方向或结构、适当减少项目资金预算等多种方式进行应用。</w:t>
      </w:r>
    </w:p>
    <w:p w14:paraId="0E4C084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b w:val="0"/>
          <w:bCs w:val="0"/>
          <w:color w:val="auto"/>
          <w:kern w:val="2"/>
          <w:sz w:val="32"/>
          <w:szCs w:val="24"/>
          <w:lang w:val="en-US" w:eastAsia="zh-CN" w:bidi="ar-SA"/>
        </w:rPr>
        <w:t>（四）加强培训。</w:t>
      </w:r>
      <w:r>
        <w:rPr>
          <w:rFonts w:hint="eastAsia" w:ascii="仿宋_GB2312" w:hAnsi="仿宋_GB2312" w:eastAsia="仿宋_GB2312" w:cs="仿宋_GB2312"/>
          <w:b w:val="0"/>
          <w:bCs w:val="0"/>
          <w:color w:val="auto"/>
          <w:kern w:val="2"/>
          <w:sz w:val="32"/>
          <w:szCs w:val="24"/>
          <w:lang w:val="en-US" w:eastAsia="zh-CN" w:bidi="ar-SA"/>
        </w:rPr>
        <w:t>积极地向党委、政府、人大汇报工作进展情况，争取支持。加强运用新闻媒体、报纸杂志等多种方式大力宣传，为绩效管理工</w:t>
      </w:r>
      <w:bookmarkStart w:id="0" w:name="_GoBack"/>
      <w:bookmarkEnd w:id="0"/>
      <w:r>
        <w:rPr>
          <w:rFonts w:hint="eastAsia" w:ascii="仿宋_GB2312" w:hAnsi="仿宋_GB2312" w:eastAsia="仿宋_GB2312" w:cs="仿宋_GB2312"/>
          <w:b w:val="0"/>
          <w:bCs w:val="0"/>
          <w:color w:val="auto"/>
          <w:kern w:val="2"/>
          <w:sz w:val="32"/>
          <w:szCs w:val="24"/>
          <w:lang w:val="en-US" w:eastAsia="zh-CN" w:bidi="ar-SA"/>
        </w:rPr>
        <w:t>作营造良好的社会环境，加大以“请进来，走出去”的方式组织多层次、全方位的绩效管理专题培训，将财政预算绩效管理基础理论和实务操作落到实处，实现预算绩效培训工作的有效化，进一步提升预算绩效管理队伍素质和水平。</w:t>
      </w:r>
    </w:p>
    <w:p w14:paraId="1259C6C9">
      <w:pPr>
        <w:pageBreakBefore w:val="0"/>
        <w:kinsoku/>
        <w:wordWrap/>
        <w:overflowPunct/>
        <w:topLinePunct w:val="0"/>
        <w:autoSpaceDE/>
        <w:autoSpaceDN/>
        <w:bidi w:val="0"/>
        <w:adjustRightInd/>
        <w:snapToGrid/>
        <w:spacing w:line="560" w:lineRule="exact"/>
        <w:ind w:left="0" w:firstLine="800" w:firstLineChars="250"/>
        <w:jc w:val="left"/>
        <w:textAlignment w:val="auto"/>
        <w:rPr>
          <w:rFonts w:hint="eastAsia" w:ascii="仿宋_GB2312" w:hAnsi="Times New Roman" w:eastAsia="仿宋_GB2312" w:cs="仿宋_GB2312"/>
          <w:color w:val="auto"/>
          <w:sz w:val="32"/>
          <w:szCs w:val="32"/>
        </w:rPr>
      </w:pPr>
    </w:p>
    <w:p w14:paraId="55EA5784">
      <w:pPr>
        <w:pageBreakBefore w:val="0"/>
        <w:kinsoku/>
        <w:wordWrap/>
        <w:overflowPunct/>
        <w:topLinePunct w:val="0"/>
        <w:autoSpaceDE/>
        <w:autoSpaceDN/>
        <w:bidi w:val="0"/>
        <w:adjustRightInd/>
        <w:snapToGrid/>
        <w:spacing w:line="560" w:lineRule="exact"/>
        <w:ind w:left="0"/>
        <w:textAlignment w:val="auto"/>
        <w:rPr>
          <w:color w:val="auto"/>
        </w:rPr>
      </w:pPr>
    </w:p>
    <w:p w14:paraId="26F56E66">
      <w:pPr>
        <w:pageBreakBefore w:val="0"/>
        <w:kinsoku/>
        <w:wordWrap/>
        <w:overflowPunct/>
        <w:topLinePunct w:val="0"/>
        <w:autoSpaceDE/>
        <w:autoSpaceDN/>
        <w:bidi w:val="0"/>
        <w:adjustRightInd/>
        <w:snapToGrid/>
        <w:spacing w:line="560" w:lineRule="exact"/>
        <w:ind w:left="0"/>
        <w:textAlignment w:val="auto"/>
        <w:rPr>
          <w:color w:val="auto"/>
        </w:rPr>
      </w:pPr>
    </w:p>
    <w:p w14:paraId="7DBAB289">
      <w:pPr>
        <w:pageBreakBefore w:val="0"/>
        <w:kinsoku/>
        <w:wordWrap/>
        <w:overflowPunct/>
        <w:topLinePunct w:val="0"/>
        <w:autoSpaceDE/>
        <w:autoSpaceDN/>
        <w:bidi w:val="0"/>
        <w:adjustRightInd/>
        <w:snapToGrid/>
        <w:spacing w:line="560" w:lineRule="exact"/>
        <w:ind w:left="0"/>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ZTRkNDYwYzc2NGU1MDA2NDZmMTI0Yzc3ZDE5MGUifQ=="/>
  </w:docVars>
  <w:rsids>
    <w:rsidRoot w:val="00695093"/>
    <w:rsid w:val="00006356"/>
    <w:rsid w:val="00041B59"/>
    <w:rsid w:val="00064BE6"/>
    <w:rsid w:val="000809FE"/>
    <w:rsid w:val="00081198"/>
    <w:rsid w:val="000D2678"/>
    <w:rsid w:val="00215646"/>
    <w:rsid w:val="0021732D"/>
    <w:rsid w:val="002838F3"/>
    <w:rsid w:val="002D3523"/>
    <w:rsid w:val="00391B30"/>
    <w:rsid w:val="003B66C1"/>
    <w:rsid w:val="0040219B"/>
    <w:rsid w:val="004101FA"/>
    <w:rsid w:val="00436624"/>
    <w:rsid w:val="00441BCB"/>
    <w:rsid w:val="00482BBD"/>
    <w:rsid w:val="0058731F"/>
    <w:rsid w:val="005A235F"/>
    <w:rsid w:val="005D24EC"/>
    <w:rsid w:val="005F727D"/>
    <w:rsid w:val="0064744F"/>
    <w:rsid w:val="00695093"/>
    <w:rsid w:val="007503C0"/>
    <w:rsid w:val="007A430E"/>
    <w:rsid w:val="007C787C"/>
    <w:rsid w:val="00807CA0"/>
    <w:rsid w:val="00830451"/>
    <w:rsid w:val="00876F08"/>
    <w:rsid w:val="00917C48"/>
    <w:rsid w:val="00A763AC"/>
    <w:rsid w:val="00A976A8"/>
    <w:rsid w:val="00AE03A5"/>
    <w:rsid w:val="00AF2E7C"/>
    <w:rsid w:val="00B511C7"/>
    <w:rsid w:val="00BD27E0"/>
    <w:rsid w:val="00C8324E"/>
    <w:rsid w:val="00D127AA"/>
    <w:rsid w:val="00D34E06"/>
    <w:rsid w:val="00DA2E8C"/>
    <w:rsid w:val="00DD11B5"/>
    <w:rsid w:val="00DF57F8"/>
    <w:rsid w:val="00DF7210"/>
    <w:rsid w:val="00F00DCF"/>
    <w:rsid w:val="00F04587"/>
    <w:rsid w:val="00F570A8"/>
    <w:rsid w:val="00F966CB"/>
    <w:rsid w:val="026305F6"/>
    <w:rsid w:val="02A97FD3"/>
    <w:rsid w:val="0406475F"/>
    <w:rsid w:val="091268D2"/>
    <w:rsid w:val="09C40716"/>
    <w:rsid w:val="09D73678"/>
    <w:rsid w:val="0FC20A5D"/>
    <w:rsid w:val="10CB393B"/>
    <w:rsid w:val="12A83E03"/>
    <w:rsid w:val="134D2F57"/>
    <w:rsid w:val="13B57974"/>
    <w:rsid w:val="13B660AC"/>
    <w:rsid w:val="16685D83"/>
    <w:rsid w:val="168349E1"/>
    <w:rsid w:val="16B72867"/>
    <w:rsid w:val="174D6D27"/>
    <w:rsid w:val="197131A1"/>
    <w:rsid w:val="19AD051E"/>
    <w:rsid w:val="19FE07AD"/>
    <w:rsid w:val="1AC83294"/>
    <w:rsid w:val="1B4504E9"/>
    <w:rsid w:val="1C24274C"/>
    <w:rsid w:val="1FAF67D1"/>
    <w:rsid w:val="2164183D"/>
    <w:rsid w:val="27FC632B"/>
    <w:rsid w:val="28094EEC"/>
    <w:rsid w:val="29E27201"/>
    <w:rsid w:val="2A2B114A"/>
    <w:rsid w:val="2B342280"/>
    <w:rsid w:val="2BA02EDA"/>
    <w:rsid w:val="2BD650E5"/>
    <w:rsid w:val="2D74023D"/>
    <w:rsid w:val="2F917CA1"/>
    <w:rsid w:val="2FCA4353"/>
    <w:rsid w:val="309B02C5"/>
    <w:rsid w:val="31210BB1"/>
    <w:rsid w:val="36426386"/>
    <w:rsid w:val="36FF1994"/>
    <w:rsid w:val="37C805AE"/>
    <w:rsid w:val="39E9692C"/>
    <w:rsid w:val="3D3A1978"/>
    <w:rsid w:val="3DB72FC9"/>
    <w:rsid w:val="3F2F3EEA"/>
    <w:rsid w:val="4015270C"/>
    <w:rsid w:val="404D5722"/>
    <w:rsid w:val="461B60BF"/>
    <w:rsid w:val="46C95D05"/>
    <w:rsid w:val="46E110B6"/>
    <w:rsid w:val="486A50DB"/>
    <w:rsid w:val="497955D6"/>
    <w:rsid w:val="4D2C0BB1"/>
    <w:rsid w:val="4D9C1893"/>
    <w:rsid w:val="4F2A24BB"/>
    <w:rsid w:val="505C714C"/>
    <w:rsid w:val="509B22D6"/>
    <w:rsid w:val="52B4374C"/>
    <w:rsid w:val="52BE04FE"/>
    <w:rsid w:val="52E77A54"/>
    <w:rsid w:val="550F79D3"/>
    <w:rsid w:val="58117322"/>
    <w:rsid w:val="58694A68"/>
    <w:rsid w:val="5C027760"/>
    <w:rsid w:val="5D292FB6"/>
    <w:rsid w:val="5DE132F2"/>
    <w:rsid w:val="5DFC012C"/>
    <w:rsid w:val="5E280F21"/>
    <w:rsid w:val="5EA93E10"/>
    <w:rsid w:val="65921AA2"/>
    <w:rsid w:val="65A247A0"/>
    <w:rsid w:val="69C13C09"/>
    <w:rsid w:val="6B256F14"/>
    <w:rsid w:val="6BD73EA6"/>
    <w:rsid w:val="6BE7714E"/>
    <w:rsid w:val="6C635F46"/>
    <w:rsid w:val="6D415B5B"/>
    <w:rsid w:val="729A3D44"/>
    <w:rsid w:val="770025E3"/>
    <w:rsid w:val="788B44BD"/>
    <w:rsid w:val="78FF59EE"/>
    <w:rsid w:val="7AD24297"/>
    <w:rsid w:val="7B7878D8"/>
    <w:rsid w:val="7C685AC7"/>
    <w:rsid w:val="7CAC712C"/>
    <w:rsid w:val="7DCE51E9"/>
    <w:rsid w:val="7DF2712A"/>
    <w:rsid w:val="7E682F48"/>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4">
    <w:name w:val="heading 3"/>
    <w:basedOn w:val="5"/>
    <w:next w:val="5"/>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5">
    <w:name w:val="table of authorities"/>
    <w:basedOn w:val="1"/>
    <w:next w:val="1"/>
    <w:unhideWhenUsed/>
    <w:qFormat/>
    <w:uiPriority w:val="99"/>
    <w:pPr>
      <w:ind w:left="200" w:leftChars="200"/>
    </w:pPr>
  </w:style>
  <w:style w:type="paragraph" w:styleId="6">
    <w:name w:val="Body Text"/>
    <w:basedOn w:val="1"/>
    <w:qFormat/>
    <w:uiPriority w:val="1"/>
    <w:rPr>
      <w:rFonts w:ascii="仿宋" w:hAnsi="仿宋" w:cs="仿宋"/>
      <w:szCs w:val="32"/>
      <w:lang w:val="zh-CN" w:bidi="zh-CN"/>
    </w:rPr>
  </w:style>
  <w:style w:type="paragraph" w:styleId="7">
    <w:name w:val="footer"/>
    <w:basedOn w:val="1"/>
    <w:next w:val="1"/>
    <w:link w:val="24"/>
    <w:semiHidden/>
    <w:unhideWhenUsed/>
    <w:qFormat/>
    <w:uiPriority w:val="99"/>
    <w:pPr>
      <w:tabs>
        <w:tab w:val="center" w:pos="4153"/>
        <w:tab w:val="right" w:pos="8306"/>
      </w:tabs>
      <w:snapToGrid w:val="0"/>
      <w:jc w:val="left"/>
    </w:pPr>
    <w:rPr>
      <w:sz w:val="18"/>
      <w:szCs w:val="18"/>
    </w:rPr>
  </w:style>
  <w:style w:type="paragraph" w:styleId="8">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bCs/>
    </w:rPr>
  </w:style>
  <w:style w:type="character" w:styleId="13">
    <w:name w:val="FollowedHyperlink"/>
    <w:basedOn w:val="11"/>
    <w:semiHidden/>
    <w:unhideWhenUsed/>
    <w:qFormat/>
    <w:uiPriority w:val="99"/>
    <w:rPr>
      <w:color w:val="333333"/>
      <w:u w:val="none"/>
    </w:rPr>
  </w:style>
  <w:style w:type="character" w:styleId="14">
    <w:name w:val="Emphasis"/>
    <w:basedOn w:val="11"/>
    <w:qFormat/>
    <w:uiPriority w:val="20"/>
  </w:style>
  <w:style w:type="character" w:styleId="15">
    <w:name w:val="HTML Definition"/>
    <w:basedOn w:val="11"/>
    <w:semiHidden/>
    <w:unhideWhenUsed/>
    <w:qFormat/>
    <w:uiPriority w:val="99"/>
  </w:style>
  <w:style w:type="character" w:styleId="16">
    <w:name w:val="HTML Acronym"/>
    <w:basedOn w:val="11"/>
    <w:semiHidden/>
    <w:unhideWhenUsed/>
    <w:qFormat/>
    <w:uiPriority w:val="99"/>
  </w:style>
  <w:style w:type="character" w:styleId="17">
    <w:name w:val="HTML Variable"/>
    <w:basedOn w:val="11"/>
    <w:semiHidden/>
    <w:unhideWhenUsed/>
    <w:qFormat/>
    <w:uiPriority w:val="99"/>
  </w:style>
  <w:style w:type="character" w:styleId="18">
    <w:name w:val="Hyperlink"/>
    <w:basedOn w:val="11"/>
    <w:semiHidden/>
    <w:unhideWhenUsed/>
    <w:qFormat/>
    <w:uiPriority w:val="99"/>
    <w:rPr>
      <w:color w:val="333333"/>
      <w:u w:val="none"/>
    </w:rPr>
  </w:style>
  <w:style w:type="character" w:styleId="19">
    <w:name w:val="HTML Code"/>
    <w:basedOn w:val="11"/>
    <w:semiHidden/>
    <w:unhideWhenUsed/>
    <w:qFormat/>
    <w:uiPriority w:val="99"/>
    <w:rPr>
      <w:rFonts w:hint="default" w:ascii="Consolas" w:hAnsi="Consolas" w:eastAsia="Consolas" w:cs="Consolas"/>
      <w:color w:val="C7254E"/>
      <w:sz w:val="21"/>
      <w:szCs w:val="21"/>
      <w:shd w:val="clear" w:fill="F9F2F4"/>
    </w:rPr>
  </w:style>
  <w:style w:type="character" w:styleId="20">
    <w:name w:val="HTML Cite"/>
    <w:basedOn w:val="11"/>
    <w:semiHidden/>
    <w:unhideWhenUsed/>
    <w:qFormat/>
    <w:uiPriority w:val="99"/>
  </w:style>
  <w:style w:type="character" w:styleId="21">
    <w:name w:val="HTML Keyboard"/>
    <w:basedOn w:val="11"/>
    <w:semiHidden/>
    <w:unhideWhenUsed/>
    <w:qFormat/>
    <w:uiPriority w:val="99"/>
    <w:rPr>
      <w:rFonts w:ascii="Consolas" w:hAnsi="Consolas" w:eastAsia="Consolas" w:cs="Consolas"/>
      <w:color w:val="FFFFFF"/>
      <w:sz w:val="21"/>
      <w:szCs w:val="21"/>
      <w:shd w:val="clear" w:fill="333333"/>
    </w:rPr>
  </w:style>
  <w:style w:type="character" w:styleId="22">
    <w:name w:val="HTML Sample"/>
    <w:basedOn w:val="11"/>
    <w:semiHidden/>
    <w:unhideWhenUsed/>
    <w:qFormat/>
    <w:uiPriority w:val="99"/>
    <w:rPr>
      <w:rFonts w:hint="default" w:ascii="Consolas" w:hAnsi="Consolas" w:eastAsia="Consolas" w:cs="Consolas"/>
      <w:sz w:val="21"/>
      <w:szCs w:val="21"/>
    </w:rPr>
  </w:style>
  <w:style w:type="character" w:customStyle="1" w:styleId="23">
    <w:name w:val="页眉 Char"/>
    <w:basedOn w:val="11"/>
    <w:link w:val="8"/>
    <w:semiHidden/>
    <w:qFormat/>
    <w:uiPriority w:val="99"/>
    <w:rPr>
      <w:sz w:val="18"/>
      <w:szCs w:val="18"/>
    </w:rPr>
  </w:style>
  <w:style w:type="character" w:customStyle="1" w:styleId="24">
    <w:name w:val="页脚 Char"/>
    <w:basedOn w:val="11"/>
    <w:link w:val="7"/>
    <w:semiHidden/>
    <w:qFormat/>
    <w:uiPriority w:val="99"/>
    <w:rPr>
      <w:sz w:val="18"/>
      <w:szCs w:val="18"/>
    </w:rPr>
  </w:style>
  <w:style w:type="paragraph" w:styleId="25">
    <w:name w:val="List Paragraph"/>
    <w:basedOn w:val="1"/>
    <w:qFormat/>
    <w:uiPriority w:val="34"/>
    <w:pPr>
      <w:ind w:firstLine="420" w:firstLineChars="200"/>
    </w:pPr>
  </w:style>
  <w:style w:type="character" w:customStyle="1" w:styleId="26">
    <w:name w:val="layui-this"/>
    <w:basedOn w:val="11"/>
    <w:qFormat/>
    <w:uiPriority w:val="0"/>
    <w:rPr>
      <w:bdr w:val="single" w:color="EEEEEE" w:sz="6" w:space="0"/>
      <w:shd w:val="clear" w:fill="FFFFFF"/>
    </w:rPr>
  </w:style>
  <w:style w:type="character" w:customStyle="1" w:styleId="27">
    <w:name w:val="icons"/>
    <w:basedOn w:val="11"/>
    <w:qFormat/>
    <w:uiPriority w:val="0"/>
    <w:rPr>
      <w:b/>
      <w:bCs/>
      <w:color w:val="000000"/>
      <w:sz w:val="0"/>
      <w:szCs w:val="0"/>
    </w:rPr>
  </w:style>
  <w:style w:type="character" w:customStyle="1" w:styleId="28">
    <w:name w:val="icons1"/>
    <w:basedOn w:val="11"/>
    <w:qFormat/>
    <w:uiPriority w:val="0"/>
    <w:rPr>
      <w:b/>
      <w:bCs/>
      <w:color w:val="000000"/>
      <w:sz w:val="0"/>
      <w:szCs w:val="0"/>
    </w:rPr>
  </w:style>
  <w:style w:type="character" w:customStyle="1" w:styleId="29">
    <w:name w:val="hover18"/>
    <w:basedOn w:val="11"/>
    <w:qFormat/>
    <w:uiPriority w:val="0"/>
    <w:rPr>
      <w:color w:val="1258AD"/>
      <w:u w:val="none"/>
      <w:bdr w:val="single" w:color="1258AD" w:sz="6" w:space="0"/>
    </w:rPr>
  </w:style>
  <w:style w:type="character" w:customStyle="1" w:styleId="30">
    <w:name w:val="hover19"/>
    <w:basedOn w:val="11"/>
    <w:qFormat/>
    <w:uiPriority w:val="0"/>
    <w:rPr>
      <w:color w:val="337AB7"/>
    </w:rPr>
  </w:style>
  <w:style w:type="character" w:customStyle="1" w:styleId="31">
    <w:name w:val="first-child"/>
    <w:basedOn w:val="11"/>
    <w:qFormat/>
    <w:uiPriority w:val="0"/>
  </w:style>
  <w:style w:type="character" w:customStyle="1" w:styleId="32">
    <w:name w:val="not([class*='suffix'])"/>
    <w:basedOn w:val="11"/>
    <w:qFormat/>
    <w:uiPriority w:val="0"/>
    <w:rPr>
      <w:sz w:val="19"/>
      <w:szCs w:val="19"/>
    </w:rPr>
  </w:style>
  <w:style w:type="character" w:customStyle="1" w:styleId="33">
    <w:name w:val="not([class*='suffix'])1"/>
    <w:basedOn w:val="11"/>
    <w:qFormat/>
    <w:uiPriority w:val="0"/>
  </w:style>
  <w:style w:type="character" w:customStyle="1" w:styleId="34">
    <w:name w:val="u-btn"/>
    <w:basedOn w:val="11"/>
    <w:qFormat/>
    <w:uiPriority w:val="0"/>
  </w:style>
  <w:style w:type="character" w:customStyle="1" w:styleId="35">
    <w:name w:val="z-open"/>
    <w:basedOn w:val="11"/>
    <w:qFormat/>
    <w:uiPriority w:val="0"/>
  </w:style>
  <w:style w:type="character" w:customStyle="1" w:styleId="36">
    <w:name w:val="nth-child(2)"/>
    <w:basedOn w:val="11"/>
    <w:qFormat/>
    <w:uiPriority w:val="0"/>
    <w:rPr>
      <w:color w:val="E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5156</Words>
  <Characters>5246</Characters>
  <Lines>15</Lines>
  <Paragraphs>4</Paragraphs>
  <TotalTime>19</TotalTime>
  <ScaleCrop>false</ScaleCrop>
  <LinksUpToDate>false</LinksUpToDate>
  <CharactersWithSpaces>5261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2019-06-17T04:35:00Z</dcterms:created>
  <dc:creator>User</dc:creator>
  <cp:lastModifiedBy>Wendy</cp:lastModifiedBy>
  <dcterms:modified xsi:type="dcterms:W3CDTF">2026-08-04T07:55:26Z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B1920B81C3D04C0295178EB36A136FC1_13</vt:lpwstr>
  </property>
  <property fmtid="{D5CDD505-2E9C-101B-9397-08002B2CF9AE}" pid="4" name="KSOTemplateDocerSaveRecord">
    <vt:lpwstr>eyJoZGlkIjoiZjg4OTBkNWZlZDQ4OWE0OTVlZmY3ZWUxNDlkZjhkZjEiLCJ1c2VySWQiOiI0Nzg1MTAzNzcifQ==</vt:lpwstr>
  </property>
</Properties>
</file>