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8F2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36"/>
          <w:sz w:val="44"/>
          <w:szCs w:val="44"/>
        </w:rPr>
        <w:t>关于全区2025年财政决算（草案）的报告</w:t>
      </w:r>
    </w:p>
    <w:p w14:paraId="5ACB0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楷体_GB2312" w:hAnsi="仿宋" w:eastAsia="楷体_GB2312" w:cs="仿宋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楷体_GB2312" w:hAnsi="仿宋" w:eastAsia="楷体_GB2312" w:cs="仿宋"/>
          <w:color w:val="auto"/>
          <w:spacing w:val="0"/>
          <w:kern w:val="0"/>
          <w:sz w:val="32"/>
          <w:szCs w:val="32"/>
          <w:highlight w:val="none"/>
        </w:rPr>
        <w:t>区</w:t>
      </w:r>
      <w:r>
        <w:rPr>
          <w:rFonts w:hint="eastAsia" w:ascii="楷体_GB2312" w:hAnsi="仿宋" w:eastAsia="楷体_GB2312" w:cs="仿宋"/>
          <w:color w:val="auto"/>
          <w:spacing w:val="0"/>
          <w:kern w:val="0"/>
          <w:sz w:val="32"/>
          <w:szCs w:val="32"/>
          <w:highlight w:val="none"/>
          <w:lang w:eastAsia="zh-CN"/>
        </w:rPr>
        <w:t>财政</w:t>
      </w:r>
      <w:r>
        <w:rPr>
          <w:rFonts w:hint="eastAsia" w:ascii="楷体_GB2312" w:hAnsi="仿宋" w:eastAsia="楷体_GB2312" w:cs="仿宋"/>
          <w:color w:val="auto"/>
          <w:spacing w:val="0"/>
          <w:kern w:val="0"/>
          <w:sz w:val="32"/>
          <w:szCs w:val="32"/>
          <w:highlight w:val="none"/>
        </w:rPr>
        <w:t>局</w:t>
      </w:r>
    </w:p>
    <w:p w14:paraId="281F1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0" w:line="540" w:lineRule="exact"/>
        <w:ind w:firstLine="3520" w:firstLineChars="1100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36"/>
          <w:sz w:val="44"/>
          <w:szCs w:val="44"/>
        </w:rPr>
      </w:pPr>
      <w:r>
        <w:rPr>
          <w:rFonts w:hint="eastAsia" w:ascii="楷体_GB2312" w:hAnsi="仿宋" w:eastAsia="楷体_GB2312" w:cs="仿宋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2026年7月</w:t>
      </w:r>
      <w:bookmarkStart w:id="0" w:name="_GoBack"/>
      <w:bookmarkEnd w:id="0"/>
    </w:p>
    <w:p w14:paraId="511040F8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主任、各位副主任、各位委员：</w:t>
      </w:r>
    </w:p>
    <w:p w14:paraId="69B3B73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受区政府委托，现将全区2025年财政决算（草案）提请本次人大常委会审议，恳请各位提出宝贵意见。</w:t>
      </w:r>
    </w:p>
    <w:p w14:paraId="333605CB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一、2025年全区财政收支决算总体情况</w:t>
      </w:r>
    </w:p>
    <w:p w14:paraId="7A5F64C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2025年是“十四五”规划收官之年。全年财政运行承压前行，基层财政持续处于紧运行、紧平衡状态。全区财政系统坚持以习近平新时代中国特色社会主义思想为指导，全面贯彻党的二十大及二十届历次全会精神，严格落实区人大审议批准的2025年度预算，紧扣“稳增长、促改革、调结构、惠民生、防风险”工作主线，刚性执行党政机关厉行节约各项规定，纵深推进财政精细化管理与大财政体系建设，闭环管控政府债务风险，全年财政决算运行总体平稳、质效稳步提升，“保工资、保运转、保基本民生”底线全面筑牢，</w:t>
      </w:r>
      <w:r>
        <w:rPr>
          <w:rFonts w:hint="eastAsia" w:ascii="仿宋_GB2312" w:hAnsi="仿宋_GB2312" w:eastAsia="仿宋_GB2312" w:cs="仿宋_GB2312"/>
          <w:sz w:val="32"/>
          <w:szCs w:val="32"/>
        </w:rPr>
        <w:t>有力支撑全区经济社会平稳健康发展。</w:t>
      </w:r>
    </w:p>
    <w:p w14:paraId="2B29658C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（一）一般公共预算收支决算情况</w:t>
      </w:r>
    </w:p>
    <w:p w14:paraId="7309453B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全区一般公共预算收入决算183508万元，完成调整预算181700万元的101%，较2024年166279万元增长10.36%。其中：税收收入127632万元，完成预算102.51%、同比增长12.51%；非税收入55876万元，完成预算97.68%、同比增长5.74%。</w:t>
      </w:r>
    </w:p>
    <w:p w14:paraId="7F72120F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全年金库口径（剔除契税通报数据）一般公共预算收入173917万元。叠加上级补助收入56345万元、待偿债一般置换债券结余3800万元、调入资金15059万元、债务转贷收入15989万元，全年收入总规模265110万元。</w:t>
      </w:r>
    </w:p>
    <w:p w14:paraId="06F5D22D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区一般公共预算支出决算190106万元，完成调整预算202996万元的93.65%，较2024年201675万元下降5.73%。叠加上解支出39272万元、债务还本支出14154万元、待偿债一般置换债券结余3800万元、结转下年支出17778万元，全年支出总规模265110万元，收支总量平衡。</w:t>
      </w:r>
    </w:p>
    <w:p w14:paraId="3430D407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分领域重点支出执行情况：一般公共服务支出25810万元，完成预算95.72%；国防支出135万元，完成预算87.38%；公共安全支出2087万元，完成预算95.09%；教育支出41050万元，完成预算95.29%；科学技术支出8968万元，完成预算79.84%；文化旅游体育与传媒支出1328万元，完成预算72.87%；社会保障和就业支出20718万元，完成预算96.44%；卫生健康支出7082万元，完成预算87.37%；节能环保支出7476万元，完成预算81.94%；城乡社区支出15954万元，完成预算90.37%；农林水支出12259万元，完成预算86.64%；交通运输支出2209万元，完成预算170.16%，增幅主要源于年末为防控债务风险增加与平台公司资金结算；资源勘探工业信息等支出31956万元，完成预算106.45%，主要为统筹调剂产业引导资金调整支出科目；自然资源海洋气象等支出1548万元，完成预算94.39%；住房保障支出3411万元，完成预算79.15%；灾害防治及应急管理支出1635万元，完成预算91.79%；其他支出72万元，足额完成预算；债务付息支出6394万元，完成预算99.91%；债务发行费用支出14万元，完成预算93.33%。</w:t>
      </w:r>
    </w:p>
    <w:p w14:paraId="59D39C2B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严格落实党政机关习惯“过紧日子”要求，全区“三公”经费财政拨款支出合计360.6万元，较2024年压减4.65万元，降幅1.3%。其中因公出国（境）费11.73万元，公务用车购置及运行维护费295.58万元，公务接待费53.29万元。</w:t>
      </w:r>
    </w:p>
    <w:p w14:paraId="25BC3FA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专项说明：依据《预算法》相关规定，现就2025年预算调整新增转移支付补助收支补充报告。预算调整后新增中央育儿补贴等转移补助资金6240万元，已按政策对应安排配套支出；未使用完的补助指标，按财政管理规定结转下年继续使用。</w:t>
      </w:r>
    </w:p>
    <w:p w14:paraId="4DA2A89C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（二）政府性基金预算收支决算情况</w:t>
      </w:r>
    </w:p>
    <w:p w14:paraId="77148DFD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区政府性基金预算收入决算36112万元，完成调整预算48475万元的74.5%，较2024年71896万元大幅下降49.77%，主要受土地出让市场持续调整、土地出让收入下滑影响。叠加上级补助收入28802万元、上年结余结转5072万元、债务转贷收入106985万元、调入资金87587万元，全年收入总规模264558万元。</w:t>
      </w:r>
    </w:p>
    <w:p w14:paraId="5231209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政府性基金支出决算228615万元，完成调整预算199792万元的114.42%，较2024年173719万元增长31.6%，增量主要为落实全市债务风险化解部署，统筹调入资金配套项目支出。叠加专项债务还本支出14835万元、待偿债专项置换债券结余365万元、结转下年支出20743万元，全年支出总规模264558万元，收支总量平衡。</w:t>
      </w:r>
    </w:p>
    <w:p w14:paraId="6355F35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专项说明：为落实全市债务风险化解部署，在年度预算调整基础上，年末新增大唐茗城安置房采购、保利时代及湖山新城房票发放、汪仁片区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一期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棚改项目资本金等项目资金60947万元；同步结合各部门项目实施进度，统筹压缩低效部门项目支出13493万元，结转跨年度项目支出20743万元。</w:t>
      </w:r>
    </w:p>
    <w:p w14:paraId="6C3748C1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（三）国有资本经营预算收支决算情况</w:t>
      </w:r>
    </w:p>
    <w:p w14:paraId="2B7C01BE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全区国有资本经营预算仅收到上级补助收入298万元，资金全额结转下年统筹使用，收支平衡。</w:t>
      </w:r>
    </w:p>
    <w:p w14:paraId="45A695AF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（四）社会保险基金预算收支决算情况</w:t>
      </w:r>
    </w:p>
    <w:p w14:paraId="70F30BC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1.开发区机关事业单位养老保险：全年收入8999万元、支出8360万元，当年结余639万元，年末滚存结余1329万元；</w:t>
      </w:r>
    </w:p>
    <w:p w14:paraId="1A4E0EA8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2.铁山区机关事业单位养老保险：全年收入4478万元、支出4246万元，当年结余232万元，年末滚存结余830万元；</w:t>
      </w:r>
    </w:p>
    <w:p w14:paraId="48BC01A1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3.铁山区城乡居民养老保险：全年收入314万元、支出165万元，当年结余149万元，年末滚存结余709万元。</w:t>
      </w:r>
    </w:p>
    <w:p w14:paraId="3F54FB2E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（五）政府债务限额、余额及债券资金使用情况</w:t>
      </w:r>
    </w:p>
    <w:p w14:paraId="7B895A08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债务限额与余额：按照现行债务管理体制，开发区与市本级共用债务限额，铁山区实行单独债务限额管理。市级核定我区债务总限额978940万元，其中一般债务限额221908万元、专项债务限额757032万元。2025年末全区政府债务余额976617万元，其中一般债务219585万元、专项债务757032万元，严格控制在核定限额以内。</w:t>
      </w:r>
    </w:p>
    <w:p w14:paraId="364E7591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债券资金使用：全年争取到位政府债券资金122974万元。其中新增债券96497万元（一般债券4712万元、专项债券91785万元），全部按照省财政厅批复项目规范拨付，重点投向产业培育、城市更新、生态环境治理领域；再融资置换债券26477万元（一般债券11277万元、专项债券15200万元），专项用于到期法定债券还本、存量隐性债务置换，有效缓释短期偿债兑付压力。</w:t>
      </w:r>
    </w:p>
    <w:p w14:paraId="449D1B0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二、2025年落实区人大预算决议工作成效</w:t>
      </w:r>
    </w:p>
    <w:p w14:paraId="1B54BB15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2025年，全区财政严格执行区人大批准的年度预算，统筹抓好增收、优支、防险、改革四项核心任务，财政运行质效持续提升，圆满完成“十四五”财政发展各项目标任务。</w:t>
      </w:r>
    </w:p>
    <w:p w14:paraId="453C1C0D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（一）固本拓源稳增长，提质增效壮财源</w:t>
      </w:r>
    </w:p>
    <w:p w14:paraId="2084507C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精准抓实收入征管。建立重点企业、重大项目税源动态监测机制，坚持依法征收、应收尽收，顺利完成一般公共预算收入年度目标。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厚植可持续税源。精准服务辖区重点企业，破解企业发展要素瓶颈，辖区亿元纳税企业增至5家，培育形成首家2亿元级龙头税源主体。全面落实大规模减税降费政策，全年9.02万户次纳税人享受税费减免18.9亿元；及时兑付产业扶持、人才用工、高质量发展等涉企专项资金4405万元，持续降低市场主体经营成本，夯实中长期税源根基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域盘活国有“三资”资源。完成六类国有资源、五类存量资产全面清查，累计办理不动产权证393个；通过资产出租、出让、市场化融资等方式盘活闲置存量，铁山废石综合利用、太子片区土地开发等项目落地见效，全年盘活“三资”近10亿元，形成6个可复制推广的资产盘活典型案例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向上资金争取成效显著。抢抓超长期特别国债、专项债券政策窗口期，全年累计争取各类政府债券、上级转移补助资金近20亿元，有效缓解财政收支运行压力。</w:t>
      </w:r>
    </w:p>
    <w:p w14:paraId="130BC55E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（二）精准赋能优结构，聚力惠民保民生</w:t>
      </w:r>
    </w:p>
    <w:p w14:paraId="61EFEBE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始终坚守民生财政导向，统筹有限财力向群众急难愁盼、产业转型升级、城乡融合发展重点倾斜。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兜牢基本民生底线。全年发放低保、特困、残疾人、临时救助等困难群众补助资金5834万元，社会保障、医疗卫生、教育领域投入持续扩容，基本公共服务均等化水平稳步提升。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赋能产业转型升级。统筹安排科技投入0.9亿元，设立规模5亿元产业引导基金；落实2.8亿元超长期特别国债，专项支持企业技术攻关与产业链升级；全年落地“政采贷”业务8笔，投放融资1516万元，同比增长35.6%，精准纾困中小微企业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统筹城乡融合与生态建设。整合3750万元乡村振兴专项资金，完善农村基础设施、壮大乡村特色产业；统筹9.1亿元专项债券保障城市更新、PPP重大项目实施，持续补齐城乡基础设施短板。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从严管控一般性支出。常态化落实“过紧日子”要求，坚决压减非必要、非刚性行政开支，“三公”经费连续年度压降；强化政府投资项目评审管控，全年项目审减率达13%，最大限度节约财政资金。</w:t>
      </w:r>
    </w:p>
    <w:p w14:paraId="1E8B920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（三）严守底线防风险，筑牢屏障稳运行</w:t>
      </w:r>
    </w:p>
    <w:p w14:paraId="023A0205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刚性保障“三保”支出。建立工资发放预警、库款动态调度、“三保”预算全链条监控机制，将保工资、保基本民生、保机构运转列为预算支出第一保障顺序。</w:t>
      </w:r>
    </w:p>
    <w:p w14:paraId="51432B9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攻坚化解隐性债务。完善防范化解政府债务风险“1+N”政策体系，提前三年实现全域隐性债务清零；推动铁山投资公司完成平台市场化转型退出，存量债务风险显著缓释，坚决遏制新增隐性债务。</w:t>
      </w:r>
    </w:p>
    <w:p w14:paraId="06E8B030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常态化开展财会监督。组织全区财务管理专项整治行动，累计排查整改财务管理短板问题239个，追回违规使用财政资金41.2万元；聚焦超长期国债、政府专项债券、惠民补贴资金开展穿透式监管，筑牢财政资金安全防线。</w:t>
      </w:r>
    </w:p>
    <w:p w14:paraId="1D5C603A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（四）深化改革提质效，迭代治理塑新机</w:t>
      </w:r>
    </w:p>
    <w:p w14:paraId="758CE860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全面启动零基预算改革。出台《开发区・铁山区推进零基预算改革实施方案（试行）》，2026年预算编制全面推行“以零为基、以事定钱、以效促用”新模式，破除传统基数固化、支出刚性沉淀格局。</w:t>
      </w:r>
    </w:p>
    <w:p w14:paraId="4A3C95A8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实现全过程预算绩效管理全覆盖。构建事前评估、事中监控、事后评价闭环管理体系，全部预算项目纳入绩效目标管理；选取9个重大项目开展重点绩效评价，评价结果直接与下一年度预算安排挂钩，强化绩效约束。</w:t>
      </w:r>
    </w:p>
    <w:p w14:paraId="3ABCF3D0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规范国有资产国企管理。完成全域国有资产清查建档，上线国有资产常态化数字化监管平台；出台区属国有企业负责人薪酬管理办法，加快推动区属国企市场化转型。</w:t>
      </w:r>
    </w:p>
    <w:p w14:paraId="0D31BF7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深化预算管理一体化建设。全面升级一体化系统应用，打通预算编制、执行、监控、决算数据链路，财政数字化监管能力全面增强。</w:t>
      </w:r>
    </w:p>
    <w:p w14:paraId="7F15FD3A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（五）当前财政运行存在的短板与问题</w:t>
      </w:r>
    </w:p>
    <w:p w14:paraId="24685B98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2025年财政决算整体平稳，但对照高质量发展要求、人大预算审查监督及审计监督反馈，财政运行仍存在突出矛盾和短板，我们高度重视、逐项梳理、限期整改。</w:t>
      </w:r>
    </w:p>
    <w:p w14:paraId="32FAFD2E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财政收支矛盾突出，紧平衡态势持续承压。受宏观经济下行态势影响，辖区税收增长动能偏弱、增收空间持续收窄，土地出让收入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断崖式下跌，资产资源匮乏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同时，民生保障、政府债务还本付息、PPP项目付费、还建安置、重大基建项目建设等刚性支出、重点支出刚性增长、逐年递增，财政收支双向承压，收支刚性矛盾愈发凸显，财政紧平衡运行格局短期内难以彻底扭转。</w:t>
      </w:r>
    </w:p>
    <w:p w14:paraId="2A562DC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财源结构质效不优，可持续发展根基偏弱。辖区财源建设仍存在结构性短板，税收收入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过多依赖于头部企业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。新兴产业尚处于培育壮大阶段，短期财税赋能、增收贡献不足，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大非税收入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稳定性、持续性支撑不足，中长期财政稳健运行和可持续发展面临一定压力。</w:t>
      </w:r>
    </w:p>
    <w:p w14:paraId="317A496E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债务防控压力犹存，财政运行风险仍需缓释。在全域隐性债务清零的基础上，法定政府债务存量规模依然偏大，年度还本付息额度逐年增加，偿债支出刚性增长。财政库款统筹调度、偿债资金统筹平衡难度持续加大，常态化债务风险防控、财政平稳运行保障压力依然突出。</w:t>
      </w:r>
    </w:p>
    <w:p w14:paraId="7960C18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三、下一步财政管理改进工作举措</w:t>
      </w:r>
    </w:p>
    <w:p w14:paraId="3A5637C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针对决算反映的突出问题，结合零基预算改革落地、“十五五”规划开局部署，我们以本次决算复盘为抓手，健全长效管控机制，系统补齐财政管理短板。</w:t>
      </w:r>
    </w:p>
    <w:p w14:paraId="6F3EA0EA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（一）拓宽财源渠道，夯实可持续财力底盘</w:t>
      </w:r>
    </w:p>
    <w:p w14:paraId="33C7247D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持续深化国有“三资”盘活，拓宽资产市场化处置运营渠道；聚焦光电子、智能制造等主导产业培育新兴优质税源；精准对接国家、省级政策导向，常态化储备优质项目，持续扩大上级补助、专项债券资金争取规模，稳步优化收入结构，提升税收贡献占比。</w:t>
      </w:r>
    </w:p>
    <w:p w14:paraId="5739978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（二）深化零基预算，持续优化支出配置</w:t>
      </w:r>
    </w:p>
    <w:p w14:paraId="1A65CD9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严格执行零基预算管理机制，全面压减低效、无效、非刚性支出，集中财力保障教育、医疗、养老、产业发展、生态治理等重点领域；常态化从严压降“三公”经费，强化政府投资项目全过程评审，健全存量资金统筹收回机制，最大化提升财政资金使用效益。</w:t>
      </w:r>
    </w:p>
    <w:p w14:paraId="0FD5224C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（三）健全全链条管控，筑牢债务风险防线</w:t>
      </w:r>
    </w:p>
    <w:p w14:paraId="3E4D9F6F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建立全口径政府债务动态监测预警机制，严守不新增隐性债务底线；规范专项债券“借、用、管、还”全生命周期闭环管理，统筹库款调度、存量资产盘活、再融资债券等渠道，优先保障债务还本付息支出，平稳缓释偿债压力。</w:t>
      </w:r>
    </w:p>
    <w:p w14:paraId="19CDA2A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（四）强化全过程财会监督，严肃财经纪律</w:t>
      </w:r>
    </w:p>
    <w:p w14:paraId="6FC4A09D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年组织不少于4次财政专项监督检查，重点核查违规资金使用、“三公”经费超标、项目资金沉淀等问题；对套取财政资金、虚列项目支出、违规调剂资金等行为从严追责问责，推动人大监督、审计监督、财会监督协同联动，实现资金监管无死角。</w:t>
      </w:r>
    </w:p>
    <w:p w14:paraId="5192F7B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（五）纵深推进财政改革，提升治理专业能力</w:t>
      </w:r>
    </w:p>
    <w:p w14:paraId="3F7362A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持续深化预算管理一体化系统深度应用，打通跨部门财政数据共享通道；常态化开展财政干部业务培训，重点强化预算编制、风险防控、绩效评价、债务管理专业能力建设，锻造高素质财政干部队伍。</w:t>
      </w:r>
    </w:p>
    <w:p w14:paraId="57EAE26D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下一步，区财政局将在党工委、区委、管委会、区政府统一领导下，自觉主动接受区人大常委会依法监督，锚定“加快大融合、打造新中心、当好排头兵”发展定位，统筹抓好增收节支、风险防控、改革创新各项工作，持续在产业培育、项目攻坚、生态治理、民生保障上精准发力，为全区经济社会高质量发展提供坚实可靠的财政保障。</w:t>
      </w:r>
    </w:p>
    <w:p w14:paraId="0110DD80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以上报告，请予审议。</w:t>
      </w:r>
    </w:p>
    <w:p w14:paraId="62E734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A2D59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E5FD8">
                          <w:pPr>
                            <w:pStyle w:val="8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AE5FD8">
                    <w:pPr>
                      <w:pStyle w:val="8"/>
                      <w:rPr>
                        <w:sz w:val="32"/>
                        <w:szCs w:val="32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5B"/>
    <w:rsid w:val="00001F36"/>
    <w:rsid w:val="00246624"/>
    <w:rsid w:val="004907BD"/>
    <w:rsid w:val="005E1FB7"/>
    <w:rsid w:val="00A91E5B"/>
    <w:rsid w:val="00A9521C"/>
    <w:rsid w:val="00AE0E01"/>
    <w:rsid w:val="00BB63D9"/>
    <w:rsid w:val="04000F83"/>
    <w:rsid w:val="068A77E8"/>
    <w:rsid w:val="070D4F0F"/>
    <w:rsid w:val="0DBE6186"/>
    <w:rsid w:val="21AE788B"/>
    <w:rsid w:val="2591328C"/>
    <w:rsid w:val="26195710"/>
    <w:rsid w:val="2CEC19E9"/>
    <w:rsid w:val="323703CC"/>
    <w:rsid w:val="38250B51"/>
    <w:rsid w:val="3D711BCF"/>
    <w:rsid w:val="40621B84"/>
    <w:rsid w:val="4DEE4A11"/>
    <w:rsid w:val="56270168"/>
    <w:rsid w:val="5B1D5978"/>
    <w:rsid w:val="61A33DC6"/>
    <w:rsid w:val="61A848EB"/>
    <w:rsid w:val="62A13EA2"/>
    <w:rsid w:val="6AF87197"/>
    <w:rsid w:val="746027BA"/>
    <w:rsid w:val="799A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5">
    <w:name w:val="heading 2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6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cs="Calibri"/>
      <w:kern w:val="2"/>
      <w:sz w:val="21"/>
      <w:szCs w:val="21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黑体" w:eastAsia="黑体"/>
      <w:sz w:val="32"/>
    </w:rPr>
  </w:style>
  <w:style w:type="paragraph" w:styleId="7">
    <w:name w:val="Normal Indent"/>
    <w:basedOn w:val="1"/>
    <w:qFormat/>
    <w:uiPriority w:val="0"/>
    <w:pPr>
      <w:ind w:firstLine="200" w:firstLineChars="200"/>
    </w:p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character" w:customStyle="1" w:styleId="12">
    <w:name w:val="标题 1 Char"/>
    <w:basedOn w:val="11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标题 2 Char"/>
    <w:basedOn w:val="11"/>
    <w:link w:val="5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3 Char"/>
    <w:basedOn w:val="11"/>
    <w:link w:val="6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5009</Words>
  <Characters>5590</Characters>
  <Lines>6</Lines>
  <Paragraphs>1</Paragraphs>
  <TotalTime>0</TotalTime>
  <ScaleCrop>false</ScaleCrop>
  <LinksUpToDate>false</LinksUpToDate>
  <CharactersWithSpaces>5590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2026-07-23T00:51:00Z</dcterms:created>
  <dc:creator>Administrator</dc:creator>
  <cp:lastModifiedBy>Wendy</cp:lastModifiedBy>
  <cp:lastPrinted>2026-07-23T07:05:00Z</cp:lastPrinted>
  <dcterms:modified xsi:type="dcterms:W3CDTF">2026-08-05T06:43:23Z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eyJoZGlkIjoiZjg4OTBkNWZlZDQ4OWE0OTVlZmY3ZWUxNDlkZjhkZjEiLCJ1c2VySWQiOiI0Nzg1MTAzNzcifQ==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74FC2E7E767049D4BA996377161F9B18_13</vt:lpwstr>
  </property>
</Properties>
</file>