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Autospacing="0" w:afterAutospacing="0" w:line="560" w:lineRule="exact"/>
        <w:jc w:val="center"/>
        <w:rPr>
          <w:rStyle w:val="10"/>
          <w:rFonts w:ascii="方正小标宋简体" w:hAnsi="方正小标宋简体" w:eastAsia="方正小标宋简体" w:cs="方正小标宋简体"/>
          <w:color w:val="333333"/>
          <w:sz w:val="44"/>
          <w:szCs w:val="44"/>
          <w:shd w:val="clear" w:color="auto" w:fill="FFFFFF"/>
        </w:rPr>
      </w:pPr>
      <w:r>
        <w:drawing>
          <wp:inline distT="0" distB="0" distL="114300" distR="114300">
            <wp:extent cx="5615940" cy="630936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615940" cy="6309360"/>
                    </a:xfrm>
                    <a:prstGeom prst="rect">
                      <a:avLst/>
                    </a:prstGeom>
                    <a:noFill/>
                    <a:ln>
                      <a:noFill/>
                    </a:ln>
                  </pic:spPr>
                </pic:pic>
              </a:graphicData>
            </a:graphic>
          </wp:inline>
        </w:drawing>
      </w:r>
    </w:p>
    <w:p>
      <w:pPr>
        <w:pStyle w:val="7"/>
        <w:shd w:val="clear" w:color="auto" w:fill="FFFFFF"/>
        <w:spacing w:beforeAutospacing="0" w:afterAutospacing="0" w:line="560" w:lineRule="exact"/>
        <w:jc w:val="center"/>
        <w:rPr>
          <w:rStyle w:val="10"/>
          <w:rFonts w:ascii="方正小标宋简体" w:hAnsi="方正小标宋简体" w:eastAsia="方正小标宋简体" w:cs="方正小标宋简体"/>
          <w:color w:val="333333"/>
          <w:sz w:val="44"/>
          <w:szCs w:val="44"/>
          <w:shd w:val="clear" w:color="auto" w:fill="FFFFFF"/>
        </w:rPr>
      </w:pPr>
    </w:p>
    <w:p>
      <w:pPr>
        <w:pStyle w:val="7"/>
        <w:shd w:val="clear" w:color="auto" w:fill="FFFFFF"/>
        <w:spacing w:before="75" w:beforeAutospacing="0" w:after="75" w:afterAutospacing="0" w:line="450" w:lineRule="atLeast"/>
        <w:rPr>
          <w:rFonts w:ascii="仿宋_GB2312" w:hAnsi="仿宋_GB2312" w:eastAsia="仿宋_GB2312" w:cs="仿宋_GB2312"/>
          <w:color w:val="333333"/>
          <w:sz w:val="32"/>
          <w:szCs w:val="32"/>
          <w:shd w:val="clear" w:color="auto" w:fill="FFFFFF"/>
        </w:rPr>
      </w:pPr>
      <w:r>
        <w:drawing>
          <wp:inline distT="0" distB="0" distL="114300" distR="114300">
            <wp:extent cx="5615940" cy="7306310"/>
            <wp:effectExtent l="0" t="0" r="7620"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a:stretch>
                      <a:fillRect/>
                    </a:stretch>
                  </pic:blipFill>
                  <pic:spPr>
                    <a:xfrm>
                      <a:off x="0" y="0"/>
                      <a:ext cx="5615940" cy="7306310"/>
                    </a:xfrm>
                    <a:prstGeom prst="rect">
                      <a:avLst/>
                    </a:prstGeom>
                    <a:noFill/>
                    <a:ln>
                      <a:noFill/>
                    </a:ln>
                  </pic:spPr>
                </pic:pic>
              </a:graphicData>
            </a:graphic>
          </wp:inline>
        </w:drawing>
      </w:r>
      <w:bookmarkStart w:id="0" w:name="_GoBack"/>
      <w:bookmarkEnd w:id="0"/>
    </w:p>
    <w:p>
      <w:pPr>
        <w:pStyle w:val="7"/>
        <w:shd w:val="clear" w:color="auto" w:fill="FFFFFF"/>
        <w:spacing w:beforeAutospacing="0" w:afterAutospacing="0" w:line="560" w:lineRule="exact"/>
        <w:ind w:firstLine="643" w:firstLineChars="200"/>
        <w:rPr>
          <w:rFonts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shd w:val="clear" w:color="auto" w:fill="FFFFFF"/>
        </w:rPr>
        <w:t>第一部分:部门基本情况</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一、部门主要职责</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二、部门预算单位构成</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三、部门人员构成</w:t>
      </w:r>
    </w:p>
    <w:p>
      <w:pPr>
        <w:pStyle w:val="7"/>
        <w:shd w:val="clear" w:color="auto" w:fill="FFFFFF"/>
        <w:spacing w:beforeAutospacing="0" w:afterAutospacing="0" w:line="560" w:lineRule="exact"/>
        <w:ind w:firstLine="643" w:firstLineChars="200"/>
        <w:rPr>
          <w:rFonts w:ascii="仿宋_GB2312" w:hAnsi="仿宋_GB2312" w:eastAsia="仿宋_GB2312" w:cs="仿宋_GB2312"/>
          <w:b/>
          <w:color w:val="333333"/>
          <w:sz w:val="32"/>
          <w:szCs w:val="32"/>
          <w:shd w:val="clear" w:color="auto" w:fill="FFFFFF"/>
        </w:rPr>
      </w:pPr>
      <w:r>
        <w:rPr>
          <w:rFonts w:hint="eastAsia" w:ascii="仿宋_GB2312" w:hAnsi="仿宋_GB2312" w:eastAsia="仿宋_GB2312" w:cs="仿宋_GB2312"/>
          <w:b/>
          <w:color w:val="333333"/>
          <w:sz w:val="32"/>
          <w:szCs w:val="32"/>
          <w:shd w:val="clear" w:color="auto" w:fill="FFFFFF"/>
        </w:rPr>
        <w:t>第二部分: 部门2025年部门预算表</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一、收支总表（表1）</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二、收入总表（表2）</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三、支出总表（表3）</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四、财政拨款收支总表（表4）</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五、一般公共预算支出表（表5）</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六、一般公共预算基本支出表（表6）</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七、一般公共预算“三公”经费支出表（表7）</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八、政府性基金预算支出表（表8）</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九、项目支出表（表9）</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十、国有资本经营预算支出表（表10）</w:t>
      </w:r>
    </w:p>
    <w:p>
      <w:pPr>
        <w:pStyle w:val="7"/>
        <w:shd w:val="clear" w:color="auto" w:fill="FFFFFF"/>
        <w:spacing w:beforeAutospacing="0" w:afterAutospacing="0" w:line="560" w:lineRule="exact"/>
        <w:ind w:firstLine="643" w:firstLineChars="200"/>
        <w:rPr>
          <w:rFonts w:ascii="仿宋_GB2312" w:hAnsi="仿宋_GB2312" w:eastAsia="仿宋_GB2312" w:cs="仿宋_GB2312"/>
          <w:b/>
          <w:color w:val="333333"/>
          <w:sz w:val="32"/>
          <w:szCs w:val="32"/>
          <w:shd w:val="clear" w:color="auto" w:fill="FFFFFF"/>
        </w:rPr>
      </w:pPr>
      <w:r>
        <w:rPr>
          <w:rFonts w:hint="eastAsia" w:ascii="仿宋_GB2312" w:hAnsi="仿宋_GB2312" w:eastAsia="仿宋_GB2312" w:cs="仿宋_GB2312"/>
          <w:b/>
          <w:color w:val="333333"/>
          <w:sz w:val="32"/>
          <w:szCs w:val="32"/>
          <w:shd w:val="clear" w:color="auto" w:fill="FFFFFF"/>
        </w:rPr>
        <w:t>第三部分：2025年部门预算情况说明</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一、部门收入支出预算情况说明</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二、收入预算情况说明</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三、支出预算情况说明</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四、财政拨款收入支出预算情况说明</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五、一般公共预算支出预算情况说明</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六、一般公共预算基本支出预算情况说明</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七、一般公共预算“三公”经费支出预算情况说明</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八、政府采购预算情况说明</w:t>
      </w:r>
    </w:p>
    <w:p>
      <w:pPr>
        <w:pStyle w:val="7"/>
        <w:shd w:val="clear" w:color="auto" w:fill="FFFFFF"/>
        <w:spacing w:beforeAutospacing="0" w:afterAutospacing="0" w:line="560" w:lineRule="exact"/>
        <w:ind w:firstLine="643" w:firstLineChars="200"/>
        <w:rPr>
          <w:rFonts w:ascii="仿宋_GB2312" w:hAnsi="仿宋_GB2312" w:eastAsia="仿宋_GB2312" w:cs="仿宋_GB2312"/>
          <w:b/>
          <w:color w:val="333333"/>
          <w:sz w:val="32"/>
          <w:szCs w:val="32"/>
          <w:shd w:val="clear" w:color="auto" w:fill="FFFFFF"/>
        </w:rPr>
      </w:pPr>
      <w:r>
        <w:rPr>
          <w:rFonts w:hint="eastAsia" w:ascii="仿宋_GB2312" w:hAnsi="仿宋_GB2312" w:eastAsia="仿宋_GB2312" w:cs="仿宋_GB2312"/>
          <w:b/>
          <w:color w:val="333333"/>
          <w:sz w:val="32"/>
          <w:szCs w:val="32"/>
          <w:shd w:val="clear" w:color="auto" w:fill="FFFFFF"/>
        </w:rPr>
        <w:t>第四部分：其他需要说明的事项</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一、国有资产占用情况</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二、机关运费经费</w:t>
      </w:r>
    </w:p>
    <w:p>
      <w:pPr>
        <w:pStyle w:val="7"/>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三、重点项目预算绩效目标和评价结果</w:t>
      </w:r>
    </w:p>
    <w:p>
      <w:pPr>
        <w:pStyle w:val="7"/>
        <w:shd w:val="clear" w:color="auto" w:fill="FFFFFF"/>
        <w:spacing w:beforeAutospacing="0" w:afterAutospacing="0" w:line="560" w:lineRule="exact"/>
        <w:ind w:firstLine="643" w:firstLineChars="200"/>
        <w:rPr>
          <w:rFonts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shd w:val="clear" w:color="auto" w:fill="FFFFFF"/>
        </w:rPr>
        <w:t>第五部分：名词解释</w:t>
      </w:r>
    </w:p>
    <w:p>
      <w:pPr>
        <w:pStyle w:val="7"/>
        <w:shd w:val="clear" w:color="auto" w:fill="FFFFFF"/>
        <w:spacing w:beforeAutospacing="0" w:afterAutospacing="0" w:line="560" w:lineRule="exact"/>
        <w:ind w:firstLine="420"/>
        <w:jc w:val="center"/>
        <w:rPr>
          <w:rStyle w:val="10"/>
          <w:rFonts w:ascii="仿宋_GB2312" w:hAnsi="仿宋_GB2312" w:eastAsia="仿宋_GB2312" w:cs="仿宋_GB2312"/>
          <w:color w:val="333333"/>
          <w:sz w:val="32"/>
          <w:szCs w:val="32"/>
          <w:shd w:val="clear" w:color="auto" w:fill="FFFFFF"/>
        </w:rPr>
      </w:pPr>
      <w:r>
        <w:rPr>
          <w:rStyle w:val="10"/>
          <w:rFonts w:hint="eastAsia" w:ascii="仿宋_GB2312" w:hAnsi="仿宋_GB2312" w:eastAsia="仿宋_GB2312" w:cs="仿宋_GB2312"/>
          <w:color w:val="333333"/>
          <w:sz w:val="32"/>
          <w:szCs w:val="32"/>
          <w:shd w:val="clear" w:color="auto" w:fill="FFFFFF"/>
        </w:rPr>
        <w:t xml:space="preserve"> </w:t>
      </w:r>
    </w:p>
    <w:p>
      <w:pPr>
        <w:pStyle w:val="7"/>
        <w:shd w:val="clear" w:color="auto" w:fill="FFFFFF"/>
        <w:spacing w:beforeAutospacing="0" w:afterAutospacing="0" w:line="560" w:lineRule="exact"/>
        <w:ind w:firstLine="420"/>
        <w:jc w:val="center"/>
        <w:rPr>
          <w:rStyle w:val="10"/>
          <w:rFonts w:ascii="仿宋_GB2312" w:hAnsi="仿宋_GB2312" w:eastAsia="仿宋_GB2312" w:cs="仿宋_GB2312"/>
          <w:color w:val="333333"/>
          <w:sz w:val="32"/>
          <w:szCs w:val="32"/>
          <w:shd w:val="clear" w:color="auto" w:fill="FFFFFF"/>
        </w:rPr>
      </w:pPr>
    </w:p>
    <w:p>
      <w:pPr>
        <w:pStyle w:val="7"/>
        <w:shd w:val="clear" w:color="auto" w:fill="FFFFFF"/>
        <w:spacing w:beforeAutospacing="0" w:afterAutospacing="0" w:line="560" w:lineRule="exact"/>
        <w:ind w:firstLine="420"/>
        <w:jc w:val="center"/>
        <w:rPr>
          <w:rStyle w:val="10"/>
          <w:rFonts w:ascii="仿宋_GB2312" w:hAnsi="仿宋_GB2312" w:eastAsia="仿宋_GB2312" w:cs="仿宋_GB2312"/>
          <w:color w:val="333333"/>
          <w:sz w:val="32"/>
          <w:szCs w:val="32"/>
          <w:shd w:val="clear" w:color="auto" w:fill="FFFFFF"/>
        </w:rPr>
      </w:pPr>
    </w:p>
    <w:p>
      <w:pPr>
        <w:pStyle w:val="7"/>
        <w:shd w:val="clear" w:color="auto" w:fill="FFFFFF"/>
        <w:spacing w:beforeAutospacing="0" w:afterAutospacing="0" w:line="560" w:lineRule="exact"/>
        <w:ind w:firstLine="420"/>
        <w:jc w:val="center"/>
        <w:rPr>
          <w:rStyle w:val="10"/>
          <w:rFonts w:ascii="仿宋_GB2312" w:hAnsi="仿宋_GB2312" w:eastAsia="仿宋_GB2312" w:cs="仿宋_GB2312"/>
          <w:color w:val="333333"/>
          <w:sz w:val="32"/>
          <w:szCs w:val="32"/>
          <w:shd w:val="clear" w:color="auto" w:fill="FFFFFF"/>
        </w:rPr>
      </w:pPr>
    </w:p>
    <w:p>
      <w:pPr>
        <w:pStyle w:val="7"/>
        <w:shd w:val="clear" w:color="auto" w:fill="FFFFFF"/>
        <w:spacing w:beforeAutospacing="0" w:afterAutospacing="0" w:line="560" w:lineRule="exact"/>
        <w:ind w:firstLine="420"/>
        <w:jc w:val="center"/>
        <w:rPr>
          <w:rStyle w:val="10"/>
          <w:rFonts w:ascii="仿宋_GB2312" w:hAnsi="仿宋_GB2312" w:eastAsia="仿宋_GB2312" w:cs="仿宋_GB2312"/>
          <w:color w:val="333333"/>
          <w:sz w:val="32"/>
          <w:szCs w:val="32"/>
          <w:shd w:val="clear" w:color="auto" w:fill="FFFFFF"/>
        </w:rPr>
      </w:pPr>
    </w:p>
    <w:p>
      <w:pPr>
        <w:pStyle w:val="7"/>
        <w:shd w:val="clear" w:color="auto" w:fill="FFFFFF"/>
        <w:spacing w:beforeAutospacing="0" w:afterAutospacing="0" w:line="560" w:lineRule="exact"/>
        <w:jc w:val="both"/>
        <w:rPr>
          <w:rFonts w:ascii="仿宋_GB2312" w:hAnsi="仿宋_GB2312" w:eastAsia="仿宋_GB2312" w:cs="仿宋_GB2312"/>
          <w:b/>
          <w:sz w:val="32"/>
          <w:szCs w:val="32"/>
        </w:rPr>
      </w:pPr>
    </w:p>
    <w:p>
      <w:pPr>
        <w:pStyle w:val="7"/>
        <w:shd w:val="clear" w:color="auto" w:fill="FFFFFF"/>
        <w:spacing w:beforeAutospacing="0" w:afterAutospacing="0" w:line="560" w:lineRule="exact"/>
        <w:jc w:val="both"/>
        <w:rPr>
          <w:rFonts w:ascii="仿宋_GB2312" w:hAnsi="仿宋_GB2312" w:eastAsia="仿宋_GB2312" w:cs="仿宋_GB2312"/>
          <w:b/>
          <w:sz w:val="32"/>
          <w:szCs w:val="32"/>
        </w:rPr>
      </w:pPr>
    </w:p>
    <w:p>
      <w:pPr>
        <w:pStyle w:val="7"/>
        <w:shd w:val="clear" w:color="auto" w:fill="FFFFFF"/>
        <w:spacing w:beforeAutospacing="0" w:afterAutospacing="0" w:line="560" w:lineRule="exact"/>
        <w:jc w:val="both"/>
        <w:rPr>
          <w:rFonts w:ascii="仿宋_GB2312" w:hAnsi="仿宋_GB2312" w:eastAsia="仿宋_GB2312" w:cs="仿宋_GB2312"/>
          <w:b/>
          <w:sz w:val="32"/>
          <w:szCs w:val="32"/>
        </w:rPr>
      </w:pPr>
    </w:p>
    <w:p>
      <w:pPr>
        <w:pStyle w:val="7"/>
        <w:shd w:val="clear" w:color="auto" w:fill="FFFFFF"/>
        <w:spacing w:beforeAutospacing="0" w:afterAutospacing="0" w:line="560" w:lineRule="exact"/>
        <w:jc w:val="both"/>
        <w:rPr>
          <w:rFonts w:ascii="仿宋_GB2312" w:hAnsi="仿宋_GB2312" w:eastAsia="仿宋_GB2312" w:cs="仿宋_GB2312"/>
          <w:b/>
          <w:sz w:val="32"/>
          <w:szCs w:val="32"/>
        </w:rPr>
      </w:pPr>
    </w:p>
    <w:p>
      <w:pPr>
        <w:pStyle w:val="7"/>
        <w:shd w:val="clear" w:color="auto" w:fill="FFFFFF"/>
        <w:spacing w:beforeAutospacing="0" w:afterAutospacing="0" w:line="560" w:lineRule="exact"/>
        <w:jc w:val="both"/>
        <w:rPr>
          <w:rFonts w:ascii="仿宋_GB2312" w:hAnsi="仿宋_GB2312" w:eastAsia="仿宋_GB2312" w:cs="仿宋_GB2312"/>
          <w:b/>
          <w:sz w:val="32"/>
          <w:szCs w:val="32"/>
        </w:rPr>
      </w:pPr>
    </w:p>
    <w:p>
      <w:pPr>
        <w:pStyle w:val="7"/>
        <w:shd w:val="clear" w:color="auto" w:fill="FFFFFF"/>
        <w:spacing w:beforeAutospacing="0" w:afterAutospacing="0" w:line="560" w:lineRule="exact"/>
        <w:jc w:val="both"/>
        <w:rPr>
          <w:rFonts w:ascii="仿宋_GB2312" w:hAnsi="仿宋_GB2312" w:eastAsia="仿宋_GB2312" w:cs="仿宋_GB2312"/>
          <w:b/>
          <w:sz w:val="32"/>
          <w:szCs w:val="32"/>
        </w:rPr>
      </w:pPr>
    </w:p>
    <w:p>
      <w:pPr>
        <w:pStyle w:val="7"/>
        <w:shd w:val="clear" w:color="auto" w:fill="FFFFFF"/>
        <w:spacing w:beforeAutospacing="0" w:afterAutospacing="0" w:line="560" w:lineRule="exact"/>
        <w:jc w:val="both"/>
        <w:rPr>
          <w:rFonts w:ascii="仿宋_GB2312" w:hAnsi="仿宋_GB2312" w:eastAsia="仿宋_GB2312" w:cs="仿宋_GB2312"/>
          <w:b/>
          <w:sz w:val="32"/>
          <w:szCs w:val="32"/>
        </w:rPr>
      </w:pPr>
    </w:p>
    <w:p>
      <w:pPr>
        <w:pStyle w:val="7"/>
        <w:shd w:val="clear" w:color="auto" w:fill="FFFFFF"/>
        <w:spacing w:beforeAutospacing="0" w:afterAutospacing="0" w:line="560" w:lineRule="exact"/>
        <w:jc w:val="both"/>
        <w:rPr>
          <w:rFonts w:ascii="仿宋_GB2312" w:hAnsi="仿宋_GB2312" w:eastAsia="仿宋_GB2312" w:cs="仿宋_GB2312"/>
          <w:b/>
          <w:sz w:val="32"/>
          <w:szCs w:val="32"/>
        </w:rPr>
      </w:pPr>
    </w:p>
    <w:p>
      <w:pPr>
        <w:pStyle w:val="7"/>
        <w:shd w:val="clear" w:color="auto" w:fill="FFFFFF"/>
        <w:spacing w:beforeAutospacing="0" w:afterAutospacing="0" w:line="560" w:lineRule="exact"/>
        <w:jc w:val="both"/>
        <w:rPr>
          <w:rFonts w:ascii="仿宋_GB2312" w:hAnsi="仿宋_GB2312" w:eastAsia="仿宋_GB2312" w:cs="仿宋_GB2312"/>
          <w:b/>
          <w:sz w:val="32"/>
          <w:szCs w:val="32"/>
        </w:rPr>
      </w:pPr>
    </w:p>
    <w:p>
      <w:pPr>
        <w:pStyle w:val="7"/>
        <w:shd w:val="clear" w:color="auto" w:fill="FFFFFF"/>
        <w:spacing w:beforeAutospacing="0" w:afterAutospacing="0" w:line="560" w:lineRule="exact"/>
        <w:jc w:val="both"/>
        <w:rPr>
          <w:rFonts w:ascii="仿宋_GB2312" w:hAnsi="仿宋_GB2312" w:eastAsia="仿宋_GB2312" w:cs="仿宋_GB2312"/>
          <w:b/>
          <w:sz w:val="32"/>
          <w:szCs w:val="32"/>
        </w:rPr>
      </w:pPr>
    </w:p>
    <w:p>
      <w:pPr>
        <w:pStyle w:val="7"/>
        <w:shd w:val="clear" w:color="auto" w:fill="FFFFFF"/>
        <w:spacing w:beforeAutospacing="0" w:afterAutospacing="0" w:line="560" w:lineRule="exact"/>
        <w:ind w:firstLine="420"/>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黄石经济技术开发区·铁山区民营企业</w:t>
      </w:r>
    </w:p>
    <w:p>
      <w:pPr>
        <w:pStyle w:val="7"/>
        <w:shd w:val="clear" w:color="auto" w:fill="FFFFFF"/>
        <w:spacing w:beforeAutospacing="0" w:afterAutospacing="0" w:line="560" w:lineRule="exact"/>
        <w:ind w:firstLine="420"/>
        <w:jc w:val="center"/>
        <w:rPr>
          <w:rFonts w:ascii="仿宋_GB2312" w:hAnsi="仿宋_GB2312" w:eastAsia="仿宋_GB2312" w:cs="仿宋_GB2312"/>
          <w:b/>
          <w:color w:val="333333"/>
          <w:sz w:val="32"/>
          <w:szCs w:val="32"/>
        </w:rPr>
      </w:pPr>
      <w:r>
        <w:rPr>
          <w:rFonts w:hint="eastAsia" w:ascii="方正小标宋简体" w:hAnsi="方正小标宋简体" w:eastAsia="方正小标宋简体" w:cs="方正小标宋简体"/>
          <w:b/>
          <w:sz w:val="44"/>
          <w:szCs w:val="44"/>
        </w:rPr>
        <w:t>发展促进中心单位2025年部门预算</w:t>
      </w:r>
    </w:p>
    <w:p>
      <w:pPr>
        <w:pStyle w:val="7"/>
        <w:shd w:val="clear" w:color="auto" w:fill="FFFFFF"/>
        <w:spacing w:beforeAutospacing="0" w:afterAutospacing="0" w:line="560" w:lineRule="exact"/>
        <w:ind w:firstLine="640" w:firstLineChars="200"/>
        <w:rPr>
          <w:rStyle w:val="10"/>
          <w:rFonts w:ascii="仿宋_GB2312" w:hAnsi="仿宋_GB2312" w:eastAsia="仿宋_GB2312" w:cs="仿宋_GB2312"/>
          <w:b w:val="0"/>
          <w:color w:val="333333"/>
          <w:sz w:val="32"/>
          <w:szCs w:val="32"/>
          <w:shd w:val="clear" w:color="auto" w:fill="FFFFFF"/>
        </w:rPr>
      </w:pPr>
    </w:p>
    <w:p>
      <w:pPr>
        <w:pStyle w:val="7"/>
        <w:shd w:val="clear" w:color="auto" w:fill="FFFFFF"/>
        <w:spacing w:beforeAutospacing="0" w:afterAutospacing="0" w:line="560" w:lineRule="exact"/>
        <w:ind w:firstLine="640" w:firstLineChars="200"/>
        <w:rPr>
          <w:rFonts w:ascii="黑体" w:hAnsi="黑体" w:eastAsia="黑体" w:cs="黑体"/>
          <w:b/>
          <w:color w:val="333333"/>
          <w:sz w:val="32"/>
          <w:szCs w:val="32"/>
        </w:rPr>
      </w:pPr>
      <w:r>
        <w:rPr>
          <w:rStyle w:val="10"/>
          <w:rFonts w:hint="eastAsia" w:ascii="黑体" w:hAnsi="黑体" w:eastAsia="黑体" w:cs="黑体"/>
          <w:b w:val="0"/>
          <w:color w:val="333333"/>
          <w:sz w:val="32"/>
          <w:szCs w:val="32"/>
          <w:shd w:val="clear" w:color="auto" w:fill="FFFFFF"/>
        </w:rPr>
        <w:t>一、部门概况</w:t>
      </w:r>
    </w:p>
    <w:p>
      <w:pPr>
        <w:pStyle w:val="7"/>
        <w:shd w:val="clear" w:color="auto" w:fill="FFFFFF"/>
        <w:spacing w:beforeAutospacing="0" w:afterAutospacing="0" w:line="560" w:lineRule="exact"/>
        <w:ind w:firstLine="643" w:firstLineChars="200"/>
        <w:rPr>
          <w:rFonts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（一）主要职责</w:t>
      </w:r>
    </w:p>
    <w:p>
      <w:pPr>
        <w:spacing w:line="560" w:lineRule="exact"/>
        <w:ind w:firstLine="64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1.负责全区重点招商工业项目（含物流项目，下同）包保服务工作，及时掌握和收集全区重点工业项目建设进展情况，对外、对上协调解决项目建设过程中存在的各方面问题。</w:t>
      </w:r>
    </w:p>
    <w:p>
      <w:pPr>
        <w:spacing w:line="560" w:lineRule="exact"/>
        <w:ind w:firstLine="64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2.负责协调解决全区招商重点工业项目落地过程中注册、立项、规划选址等行政审批方面的问题。</w:t>
      </w:r>
    </w:p>
    <w:p>
      <w:pPr>
        <w:spacing w:line="560" w:lineRule="exact"/>
        <w:ind w:firstLine="64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3.负责协调落实全区重点工业项目土地、水、电、气、道路、管网等要素保障工作。</w:t>
      </w:r>
    </w:p>
    <w:p>
      <w:pPr>
        <w:spacing w:line="560" w:lineRule="exact"/>
        <w:ind w:firstLine="64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4.负责招商引资工业项目优惠政策兑现工作。</w:t>
      </w:r>
    </w:p>
    <w:p>
      <w:pPr>
        <w:spacing w:line="560" w:lineRule="exact"/>
        <w:ind w:firstLine="64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5.负责研究制订全区服务重点工业项目建设的运行机制。</w:t>
      </w:r>
    </w:p>
    <w:p>
      <w:pPr>
        <w:spacing w:line="560" w:lineRule="exact"/>
        <w:ind w:firstLine="640"/>
        <w:rPr>
          <w:rFonts w:ascii="仿宋_GB2312" w:hAnsi="仿宋_GB2312" w:eastAsia="仿宋_GB2312" w:cs="仿宋_GB2312"/>
          <w:b/>
          <w:color w:val="333333"/>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6.完成上级交办的其他任务。</w:t>
      </w:r>
    </w:p>
    <w:p>
      <w:pPr>
        <w:pStyle w:val="7"/>
        <w:shd w:val="clear" w:color="auto" w:fill="FFFFFF"/>
        <w:spacing w:beforeAutospacing="0" w:afterAutospacing="0" w:line="560" w:lineRule="exact"/>
        <w:ind w:firstLine="643" w:firstLineChars="200"/>
        <w:rPr>
          <w:rFonts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（二）部门预算单位构成</w:t>
      </w:r>
    </w:p>
    <w:p>
      <w:pPr>
        <w:pStyle w:val="7"/>
        <w:shd w:val="clear" w:color="auto" w:fill="FFFFFF"/>
        <w:spacing w:beforeAutospacing="0" w:afterAutospacing="0" w:line="560" w:lineRule="exact"/>
        <w:ind w:firstLine="640" w:firstLineChars="200"/>
        <w:rPr>
          <w:rFonts w:ascii="仿宋_GB2312" w:hAnsi="仿宋_GB2312" w:eastAsia="仿宋_GB2312" w:cs="仿宋_GB2312"/>
          <w:b/>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从预算构成单位来看，开发区·铁山区民营企业发展促进中心部门预算是实行独立核算，为一级行政预算单位，单位性质是公益一类事业单位。科室设置有综合业务部、运行服务部、要素保障部。</w:t>
      </w:r>
    </w:p>
    <w:p>
      <w:pPr>
        <w:pStyle w:val="7"/>
        <w:shd w:val="clear" w:color="auto" w:fill="FFFFFF"/>
        <w:spacing w:beforeAutospacing="0" w:afterAutospacing="0" w:line="560" w:lineRule="exact"/>
        <w:ind w:firstLine="643" w:firstLineChars="200"/>
        <w:rPr>
          <w:rFonts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（三）部门人员构成</w:t>
      </w:r>
    </w:p>
    <w:p>
      <w:pPr>
        <w:spacing w:line="560" w:lineRule="exact"/>
        <w:ind w:firstLine="640"/>
        <w:rPr>
          <w:rFonts w:ascii="仿宋_GB2312" w:hAnsi="仿宋_GB2312" w:eastAsia="仿宋_GB2312" w:cs="仿宋_GB2312"/>
          <w:b/>
          <w:color w:val="333333"/>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区民营企业发展促进中心机关事业编制10名，设主任1名，副主任2名。2024年底单位实有人数21人，其中：行政编制1人，事业编制9人，区聘人员10人，劳务派遣人员1人，退休0人。</w:t>
      </w:r>
    </w:p>
    <w:p>
      <w:pPr>
        <w:pStyle w:val="7"/>
        <w:shd w:val="clear" w:color="auto" w:fill="FFFFFF"/>
        <w:spacing w:beforeAutospacing="0" w:afterAutospacing="0" w:line="560" w:lineRule="exact"/>
        <w:ind w:firstLine="640" w:firstLineChars="200"/>
        <w:rPr>
          <w:rStyle w:val="10"/>
          <w:rFonts w:ascii="黑体" w:hAnsi="黑体" w:eastAsia="黑体" w:cs="黑体"/>
          <w:b w:val="0"/>
          <w:sz w:val="32"/>
          <w:szCs w:val="32"/>
        </w:rPr>
      </w:pPr>
      <w:r>
        <w:rPr>
          <w:rStyle w:val="10"/>
          <w:rFonts w:hint="eastAsia" w:ascii="黑体" w:hAnsi="黑体" w:eastAsia="黑体" w:cs="黑体"/>
          <w:b w:val="0"/>
          <w:sz w:val="32"/>
          <w:szCs w:val="32"/>
        </w:rPr>
        <w:t>二、2025年部门预算表</w:t>
      </w:r>
    </w:p>
    <w:p>
      <w:pPr>
        <w:pStyle w:val="7"/>
        <w:shd w:val="clear" w:color="auto" w:fill="FFFFFF"/>
        <w:spacing w:beforeAutospacing="0" w:afterAutospacing="0" w:line="560" w:lineRule="exact"/>
        <w:ind w:firstLine="643" w:firstLineChars="200"/>
        <w:rPr>
          <w:rFonts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一、收支总表（表1）</w:t>
      </w:r>
    </w:p>
    <w:p>
      <w:pPr>
        <w:pStyle w:val="7"/>
        <w:shd w:val="clear" w:color="auto" w:fill="FFFFFF"/>
        <w:spacing w:before="75" w:beforeAutospacing="0" w:after="75" w:afterAutospacing="0" w:line="450" w:lineRule="atLeas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drawing>
          <wp:inline distT="0" distB="0" distL="0" distR="0">
            <wp:extent cx="4316730" cy="4361180"/>
            <wp:effectExtent l="0" t="0" r="1143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316730" cy="4361180"/>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color w:val="333333"/>
          <w:sz w:val="32"/>
          <w:szCs w:val="32"/>
          <w:shd w:val="clear" w:color="auto" w:fill="FFFFFF"/>
        </w:rPr>
        <w:t>二、收入总表（表2）</w:t>
      </w:r>
      <w:r>
        <w:rPr>
          <w:rFonts w:hint="eastAsia" w:ascii="仿宋_GB2312" w:hAnsi="仿宋_GB2312" w:eastAsia="仿宋_GB2312" w:cs="仿宋_GB2312"/>
          <w:sz w:val="32"/>
          <w:szCs w:val="32"/>
        </w:rPr>
        <w:drawing>
          <wp:inline distT="0" distB="0" distL="114300" distR="114300">
            <wp:extent cx="5285105" cy="1123950"/>
            <wp:effectExtent l="0" t="0" r="317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85105" cy="1123950"/>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三、支出总表（表3）</w:t>
      </w:r>
    </w:p>
    <w:p>
      <w:pPr>
        <w:pStyle w:val="7"/>
        <w:shd w:val="clear" w:color="auto" w:fill="FFFFFF"/>
        <w:spacing w:before="75" w:beforeAutospacing="0" w:after="75" w:afterAutospacing="0" w:line="45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609590" cy="1875790"/>
            <wp:effectExtent l="0" t="0" r="635"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609590" cy="1875790"/>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四、财政拨款收支总表（表4）</w:t>
      </w:r>
    </w:p>
    <w:p>
      <w:pPr>
        <w:pStyle w:val="7"/>
        <w:shd w:val="clear" w:color="auto" w:fill="FFFFFF"/>
        <w:spacing w:before="75" w:beforeAutospacing="0" w:after="75" w:afterAutospacing="0" w:line="450" w:lineRule="atLeas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drawing>
          <wp:inline distT="0" distB="0" distL="0" distR="0">
            <wp:extent cx="5502275" cy="5115560"/>
            <wp:effectExtent l="0" t="0" r="1460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02275" cy="5115560"/>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五、一般公共预算支出表（表5）</w:t>
      </w:r>
    </w:p>
    <w:p>
      <w:pPr>
        <w:pStyle w:val="7"/>
        <w:shd w:val="clear" w:color="auto" w:fill="FFFFFF"/>
        <w:spacing w:before="75" w:beforeAutospacing="0" w:after="75" w:afterAutospacing="0" w:line="45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612130" cy="2298065"/>
            <wp:effectExtent l="0" t="0" r="7620" b="698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tretch>
                      <a:fillRect/>
                    </a:stretch>
                  </pic:blipFill>
                  <pic:spPr>
                    <a:xfrm>
                      <a:off x="0" y="0"/>
                      <a:ext cx="5612130" cy="2298065"/>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六、一般公共预算基本支出表（表6）</w:t>
      </w:r>
    </w:p>
    <w:p>
      <w:pPr>
        <w:pStyle w:val="7"/>
        <w:shd w:val="clear" w:color="auto" w:fill="FFFFFF"/>
        <w:spacing w:before="75" w:beforeAutospacing="0" w:after="75" w:afterAutospacing="0" w:line="45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621020" cy="4697730"/>
            <wp:effectExtent l="0" t="0" r="2540" b="1143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21020" cy="4695107"/>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七、一般公共预算“三公”经费支出表（表7）</w:t>
      </w:r>
    </w:p>
    <w:p>
      <w:pPr>
        <w:pStyle w:val="7"/>
        <w:shd w:val="clear" w:color="auto" w:fill="FFFFFF"/>
        <w:spacing w:before="75" w:beforeAutospacing="0" w:after="75" w:afterAutospacing="0" w:line="450" w:lineRule="atLeas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drawing>
          <wp:inline distT="0" distB="0" distL="0" distR="0">
            <wp:extent cx="5616575" cy="1096645"/>
            <wp:effectExtent l="0" t="0" r="6985"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16575" cy="1096645"/>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八、政府性基金预算支出表（表8）</w:t>
      </w:r>
    </w:p>
    <w:p>
      <w:pPr>
        <w:pStyle w:val="7"/>
        <w:shd w:val="clear" w:color="auto" w:fill="FFFFFF"/>
        <w:spacing w:before="75" w:beforeAutospacing="0" w:after="75" w:afterAutospacing="0" w:line="450" w:lineRule="atLeas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drawing>
          <wp:inline distT="0" distB="0" distL="0" distR="0">
            <wp:extent cx="5616575" cy="770255"/>
            <wp:effectExtent l="0" t="0" r="6985" b="69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616575" cy="770255"/>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我单位无此项内容，本表无数据。</w:t>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九、项目支出表（表9）</w:t>
      </w:r>
    </w:p>
    <w:p>
      <w:pPr>
        <w:pStyle w:val="7"/>
        <w:shd w:val="clear" w:color="auto" w:fill="FFFFFF"/>
        <w:spacing w:before="75" w:beforeAutospacing="0" w:after="75" w:afterAutospacing="0" w:line="450" w:lineRule="atLeas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drawing>
          <wp:inline distT="0" distB="0" distL="0" distR="0">
            <wp:extent cx="5616575" cy="2292350"/>
            <wp:effectExtent l="0" t="0" r="6985" b="889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16575" cy="2292350"/>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十、国有资本经营预算支出表（表10）</w:t>
      </w:r>
    </w:p>
    <w:p>
      <w:pPr>
        <w:pStyle w:val="7"/>
        <w:shd w:val="clear" w:color="auto" w:fill="FFFFFF"/>
        <w:spacing w:before="75" w:beforeAutospacing="0" w:after="75" w:afterAutospacing="0" w:line="450"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616575" cy="796925"/>
            <wp:effectExtent l="0" t="0" r="6985" b="1079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16575" cy="796925"/>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我单位无此项内容，本表无数据。</w:t>
      </w:r>
    </w:p>
    <w:p>
      <w:pPr>
        <w:pStyle w:val="7"/>
        <w:shd w:val="clear" w:color="auto" w:fill="FFFFFF"/>
        <w:spacing w:before="75" w:beforeAutospacing="0" w:after="75" w:afterAutospacing="0" w:line="450" w:lineRule="atLeast"/>
        <w:ind w:firstLine="640" w:firstLineChars="200"/>
        <w:rPr>
          <w:rFonts w:ascii="黑体" w:hAnsi="黑体" w:eastAsia="黑体" w:cs="黑体"/>
          <w:b/>
          <w:color w:val="333333"/>
          <w:sz w:val="32"/>
          <w:szCs w:val="32"/>
        </w:rPr>
      </w:pPr>
      <w:r>
        <w:rPr>
          <w:rStyle w:val="10"/>
          <w:rFonts w:hint="eastAsia" w:ascii="黑体" w:hAnsi="黑体" w:eastAsia="黑体" w:cs="黑体"/>
          <w:b w:val="0"/>
          <w:color w:val="333333"/>
          <w:sz w:val="32"/>
          <w:szCs w:val="32"/>
          <w:shd w:val="clear" w:color="auto" w:fill="FFFFFF"/>
        </w:rPr>
        <w:t>三、2025年部门预算情况说明</w:t>
      </w:r>
    </w:p>
    <w:p>
      <w:pPr>
        <w:pStyle w:val="7"/>
        <w:shd w:val="clear" w:color="auto" w:fill="FFFFFF"/>
        <w:spacing w:before="75" w:beforeAutospacing="0" w:after="75" w:afterAutospacing="0" w:line="450" w:lineRule="atLeast"/>
        <w:ind w:firstLine="643" w:firstLineChars="200"/>
        <w:rPr>
          <w:rFonts w:ascii="仿宋_GB2312" w:hAnsi="仿宋_GB2312" w:eastAsia="仿宋_GB2312" w:cs="仿宋_GB2312"/>
          <w:color w:val="333333"/>
          <w:sz w:val="32"/>
          <w:szCs w:val="32"/>
        </w:rPr>
      </w:pPr>
      <w:r>
        <w:rPr>
          <w:rFonts w:hint="eastAsia" w:ascii="楷体_GB2312" w:hAnsi="楷体_GB2312" w:eastAsia="楷体_GB2312" w:cs="楷体_GB2312"/>
          <w:b/>
          <w:color w:val="333333"/>
          <w:sz w:val="32"/>
          <w:szCs w:val="32"/>
          <w:shd w:val="clear" w:color="auto" w:fill="FFFFFF"/>
        </w:rPr>
        <w:t>（一）部门收入支出预算情况说明。</w:t>
      </w:r>
      <w:r>
        <w:rPr>
          <w:rFonts w:hint="eastAsia" w:ascii="仿宋_GB2312" w:hAnsi="仿宋_GB2312" w:eastAsia="仿宋_GB2312" w:cs="仿宋_GB2312"/>
          <w:color w:val="333333"/>
          <w:sz w:val="32"/>
          <w:szCs w:val="32"/>
          <w:shd w:val="clear" w:color="auto" w:fill="FFFFFF"/>
        </w:rPr>
        <w:t>本单位2025年度预算总收入10485.79万元，比2024年20529.15万元减少10043.36万元。主要原因：一是工资福利支出减少74.37万元，二是项目资金减少9969万元，分别为：法律诉讼咨询费项目增加34万元；产业引导资金减少10000万元；企业落地服务经费减少3万元。</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本单位2025年预算总支出10485.79万元，比2024年减少10043.36万元。主要原因：一是工资福利支出减少74.37万元，二是项目资金减少9969万元，分别为：法律诉讼咨询费项目增加34万元；产业引导资金减少10000万元；企业落地服务经费减少3万元。</w:t>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(二）部门收入预算情况说明</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单位2025年预算总收入是10485.79万元。其中：财政拨款收入10485.79万元、事业收入0万元、经营收入0万元、其他收入0万元、政府性基金预算财政拨款收入0万元。比2024年减少10043.36万元。主要原因：一是工资福利支出减少74.37万元，二是项目资金减少9969万元，分别为：法律诉讼咨询费项目增加34万元；产业引导资金减少10000万元；企业落地服务经费减少3万元。</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（三）支出预算情况说明</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单位2025年预算总支出是10485.79万元，其中：基本支出203.93万元；项目支出10281.86万元；年末结转和结余0万元。比2024年减少10043.36万元。主要原因：一是工资福利支出减少74.37万元，二是项目资金减少9969万元，分别为：法律诉讼咨询费项目增加34万元；产业引导资金减少10000万元；企业落地服务经费减少3万元。</w:t>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（四）财政拨款收入支出预算总表说明</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本单位2025年财政拨款总收入10485.79万元，比2024年减少10043.36万元。主要原因：一是工资福利支出减少74.37万元，二是项目资金减少9969万元，分别为：法律诉讼咨询费项目增加34万元；产业引导资金减少10000万元；企业落地服务经费减少3万元。</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2025年财政拨款总支出10485.79万元，比2024年减少10043.36万元。主要原因：一是工资福利支出减少74.37万元，二是项目资金减少9969万元，分别为：法律诉讼咨询费项目增加34万元；产业引导资金减少10000万元；企业落地服务经费减少3万元。</w:t>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（五）一般公共预算财政拨款支出预算情况说明</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本单位2025年财政拨款总支出10485.79万元，公共预算财政拨款支出按支出功能分类情况如下：</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一、一般公共服务支出类0万元，占本年支出0%</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二、公共安全支出类0万元，占本年支出0%</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三、教育支出类0万元，占本年支出0%</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四、科学技术类10000万元，占本年支出95.37%</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五、文化体育与传媒支出类0万元，占本年支出0%</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六、社会保障和就业支出类0万元，占本年支出0%</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七、医疗卫生与计划生育支出类0万元，占本年支出0%</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八、节能环保支出类0万元，占本年支出0%</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九、城乡社区事务支出类0万元，占本年支出0%</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十、农林水事务支出类0万元，占本年支出0%</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十一、交通运输支出类0万元，占本年支出0%</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十二、资源勘探信息支出类485.79万元，占本年支出4.63%</w:t>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（六）一般公共预算财政拨款基本支出预算情况说明</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公共预算财政拨款基本支出203.93万元，其中：人员经费181.62万元，包括基本工资41.01万元、津贴补贴10.73万元、奖金54.24万元、绩效工资18.69万元、机关事业单位基本养老保险缴费16万元、职业年金缴费8万元、职工基本医疗保险缴费17.56万元、住房公积金15.39万元；公用经费22.31万元：包括办公费6.5万元、公务接待费0.3万元、委托业务费1.2万元、工会经费2.56万元、福利费4.21万元、公务用车运行维护费4万元、其他交通费用3.54万元。</w:t>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（七）一般公共预算财政拨款“三公”经费支出预算情况说明</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2025年“三公”经费公共预算财政拨款支出8万元，与2024年“三公”经费比，减少1万元。其中：</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1、因公出国（境）费用0万元，与2024年相比无增减变化。</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2、公务用车购置费0万元，与2024年相比无增减变化。</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3、公务用车运行维护费4万元，与2024年一致，无增减变化，主要原因：本年度公务用车保有量跟去年一致。</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4、公务接待费4万元，预计国内公务接待批次32次，国内公务接待人数395人。与2024年比，减少1万元。主要原因：我单位厉行节俭，减少接待次数，压减开支。</w:t>
      </w:r>
    </w:p>
    <w:p>
      <w:pPr>
        <w:pStyle w:val="7"/>
        <w:shd w:val="clear" w:color="auto" w:fill="FFFFFF"/>
        <w:spacing w:before="75" w:beforeAutospacing="0" w:after="75" w:afterAutospacing="0" w:line="450" w:lineRule="atLeast"/>
        <w:ind w:firstLine="643" w:firstLineChars="200"/>
        <w:rPr>
          <w:rFonts w:ascii="楷体_GB2312" w:hAnsi="楷体_GB2312" w:eastAsia="楷体_GB2312" w:cs="楷体_GB2312"/>
          <w:b/>
          <w:color w:val="333333"/>
          <w:sz w:val="32"/>
          <w:szCs w:val="32"/>
          <w:shd w:val="clear" w:color="auto" w:fill="FFFFFF"/>
        </w:rPr>
      </w:pPr>
      <w:r>
        <w:rPr>
          <w:rFonts w:hint="eastAsia" w:ascii="楷体_GB2312" w:hAnsi="楷体_GB2312" w:eastAsia="楷体_GB2312" w:cs="楷体_GB2312"/>
          <w:b/>
          <w:color w:val="333333"/>
          <w:sz w:val="32"/>
          <w:szCs w:val="32"/>
          <w:shd w:val="clear" w:color="auto" w:fill="FFFFFF"/>
        </w:rPr>
        <w:t>（八）政府采购预算情况说明</w:t>
      </w:r>
    </w:p>
    <w:p>
      <w:pPr>
        <w:pStyle w:val="7"/>
        <w:shd w:val="clear" w:color="auto" w:fill="FFFFFF"/>
        <w:spacing w:before="75" w:beforeAutospacing="0" w:after="75" w:afterAutospacing="0" w:line="450" w:lineRule="atLeast"/>
        <w:ind w:firstLine="640" w:firstLineChars="200"/>
        <w:rPr>
          <w:rStyle w:val="10"/>
          <w:rFonts w:ascii="仿宋_GB2312" w:hAnsi="仿宋_GB2312" w:eastAsia="仿宋_GB2312" w:cs="仿宋_GB2312"/>
          <w:b w:val="0"/>
          <w:bCs w:val="0"/>
          <w:spacing w:val="-8"/>
          <w:sz w:val="32"/>
          <w:szCs w:val="32"/>
        </w:rPr>
      </w:pPr>
      <w:r>
        <w:rPr>
          <w:rFonts w:hint="eastAsia" w:ascii="仿宋_GB2312" w:hAnsi="仿宋_GB2312" w:eastAsia="仿宋_GB2312" w:cs="仿宋_GB2312"/>
          <w:color w:val="333333"/>
          <w:sz w:val="32"/>
          <w:szCs w:val="32"/>
        </w:rPr>
        <w:t>政府采购情况如下：</w:t>
      </w:r>
      <w:r>
        <w:rPr>
          <w:rFonts w:hint="eastAsia" w:ascii="仿宋_GB2312" w:hAnsi="仿宋_GB2312" w:eastAsia="仿宋_GB2312" w:cs="仿宋_GB2312"/>
          <w:spacing w:val="-4"/>
          <w:sz w:val="32"/>
          <w:szCs w:val="32"/>
        </w:rPr>
        <w:t>政府采购预算总金额为137.7万元，其中：货物类采购</w:t>
      </w:r>
      <w:r>
        <w:rPr>
          <w:rFonts w:hint="eastAsia" w:ascii="仿宋_GB2312" w:hAnsi="仿宋_GB2312" w:eastAsia="仿宋_GB2312" w:cs="仿宋_GB2312"/>
          <w:spacing w:val="-8"/>
          <w:sz w:val="32"/>
          <w:szCs w:val="32"/>
        </w:rPr>
        <w:t>预算金额3.7万元</w:t>
      </w:r>
      <w:r>
        <w:rPr>
          <w:rFonts w:hint="eastAsia" w:ascii="仿宋_GB2312" w:hAnsi="仿宋_GB2312" w:eastAsia="仿宋_GB2312" w:cs="仿宋_GB2312"/>
          <w:spacing w:val="-4"/>
          <w:sz w:val="32"/>
          <w:szCs w:val="32"/>
        </w:rPr>
        <w:t>、工程类采购</w:t>
      </w:r>
      <w:r>
        <w:rPr>
          <w:rFonts w:hint="eastAsia" w:ascii="仿宋_GB2312" w:hAnsi="仿宋_GB2312" w:eastAsia="仿宋_GB2312" w:cs="仿宋_GB2312"/>
          <w:spacing w:val="-8"/>
          <w:sz w:val="32"/>
          <w:szCs w:val="32"/>
        </w:rPr>
        <w:t>预算金额0万元</w:t>
      </w:r>
      <w:r>
        <w:rPr>
          <w:rFonts w:hint="eastAsia" w:ascii="仿宋_GB2312" w:hAnsi="仿宋_GB2312" w:eastAsia="仿宋_GB2312" w:cs="仿宋_GB2312"/>
          <w:spacing w:val="-4"/>
          <w:sz w:val="32"/>
          <w:szCs w:val="32"/>
        </w:rPr>
        <w:t>、服务类</w:t>
      </w:r>
      <w:r>
        <w:rPr>
          <w:rFonts w:hint="eastAsia" w:ascii="仿宋_GB2312" w:hAnsi="仿宋_GB2312" w:eastAsia="仿宋_GB2312" w:cs="仿宋_GB2312"/>
          <w:spacing w:val="-8"/>
          <w:sz w:val="32"/>
          <w:szCs w:val="32"/>
        </w:rPr>
        <w:t>采购的预算金额134万元。</w:t>
      </w:r>
    </w:p>
    <w:p>
      <w:pPr>
        <w:pStyle w:val="7"/>
        <w:shd w:val="clear" w:color="auto" w:fill="FFFFFF"/>
        <w:spacing w:before="75" w:beforeAutospacing="0" w:after="75" w:afterAutospacing="0" w:line="450" w:lineRule="atLeast"/>
        <w:ind w:firstLine="640" w:firstLineChars="200"/>
        <w:rPr>
          <w:rFonts w:ascii="黑体" w:hAnsi="黑体" w:eastAsia="黑体" w:cs="黑体"/>
          <w:color w:val="333333"/>
          <w:sz w:val="32"/>
          <w:szCs w:val="32"/>
          <w:shd w:val="clear" w:color="auto" w:fill="FFFFFF"/>
        </w:rPr>
      </w:pPr>
      <w:r>
        <w:rPr>
          <w:rStyle w:val="10"/>
          <w:rFonts w:hint="eastAsia" w:ascii="黑体" w:hAnsi="黑体" w:eastAsia="黑体" w:cs="黑体"/>
          <w:b w:val="0"/>
          <w:color w:val="333333"/>
          <w:sz w:val="32"/>
          <w:szCs w:val="32"/>
          <w:shd w:val="clear" w:color="auto" w:fill="FFFFFF"/>
        </w:rPr>
        <w:t>四、其他需要说明的事项</w:t>
      </w:r>
    </w:p>
    <w:p>
      <w:pPr>
        <w:pStyle w:val="7"/>
        <w:shd w:val="clear" w:color="auto" w:fill="FFFFFF"/>
        <w:spacing w:before="75" w:beforeAutospacing="0" w:after="75" w:afterAutospacing="0" w:line="450" w:lineRule="atLeas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color w:val="333333"/>
          <w:sz w:val="32"/>
          <w:szCs w:val="32"/>
        </w:rPr>
        <w:t>（一）国有资产占用情况：</w:t>
      </w:r>
      <w:r>
        <w:rPr>
          <w:rFonts w:hint="eastAsia" w:ascii="仿宋_GB2312" w:hAnsi="仿宋_GB2312" w:eastAsia="仿宋_GB2312" w:cs="仿宋_GB2312"/>
          <w:color w:val="333333"/>
          <w:sz w:val="32"/>
          <w:szCs w:val="32"/>
        </w:rPr>
        <w:t>截至2024年 12月31日，部门共有车辆1 辆，其中，副省级及以上领导干部用车0辆、主要领导干部用车0辆、机要通信用车0辆、应急保障用车1辆、执法执勤用车0辆、特种专业技术用车0辆、其他用车0辆；单位价值 50万元以上设备（不</w:t>
      </w:r>
      <w:r>
        <w:rPr>
          <w:rFonts w:hint="eastAsia" w:ascii="仿宋_GB2312" w:hAnsi="仿宋_GB2312" w:eastAsia="仿宋_GB2312" w:cs="仿宋_GB2312"/>
          <w:sz w:val="32"/>
          <w:szCs w:val="32"/>
        </w:rPr>
        <w:t>含车辆）0台（套）。</w:t>
      </w:r>
    </w:p>
    <w:p>
      <w:pPr>
        <w:pStyle w:val="7"/>
        <w:shd w:val="clear" w:color="auto" w:fill="FFFFFF"/>
        <w:spacing w:before="75" w:beforeAutospacing="0" w:after="75" w:afterAutospacing="0" w:line="450" w:lineRule="atLeast"/>
        <w:ind w:firstLine="643"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b/>
          <w:bCs/>
          <w:color w:val="333333"/>
          <w:sz w:val="32"/>
          <w:szCs w:val="32"/>
        </w:rPr>
        <w:t>（二）机关运费经费：</w:t>
      </w:r>
      <w:r>
        <w:rPr>
          <w:rFonts w:hint="eastAsia" w:ascii="仿宋_GB2312" w:hAnsi="仿宋_GB2312" w:eastAsia="仿宋_GB2312" w:cs="仿宋_GB2312"/>
          <w:sz w:val="32"/>
          <w:szCs w:val="32"/>
          <w:shd w:val="clear" w:color="auto" w:fill="FFFFFF"/>
        </w:rPr>
        <w:t>人均0万元，合计0万元。</w:t>
      </w:r>
      <w:r>
        <w:rPr>
          <w:rFonts w:hint="eastAsia" w:ascii="仿宋_GB2312" w:hAnsi="仿宋_GB2312" w:eastAsia="仿宋_GB2312" w:cs="仿宋_GB2312"/>
          <w:color w:val="333333"/>
          <w:sz w:val="32"/>
          <w:szCs w:val="32"/>
          <w:shd w:val="clear" w:color="auto" w:fill="FFFFFF"/>
        </w:rPr>
        <w:t>开发区·铁山区民营企业发展促进中心部门预算是实行独立核算，为一级行政预算单位，单位性质是公益一类事业单位，因此无该项数据。</w:t>
      </w:r>
    </w:p>
    <w:p>
      <w:pPr>
        <w:pStyle w:val="7"/>
        <w:shd w:val="clear" w:color="auto" w:fill="FFFFFF"/>
        <w:spacing w:before="75" w:beforeAutospacing="0" w:after="75" w:afterAutospacing="0" w:line="450" w:lineRule="atLeast"/>
        <w:ind w:firstLine="643" w:firstLineChars="200"/>
        <w:rPr>
          <w:rFonts w:ascii="仿宋_GB2312" w:hAnsi="仿宋_GB2312" w:eastAsia="仿宋_GB2312" w:cs="仿宋_GB2312"/>
          <w:color w:val="333333"/>
          <w:sz w:val="32"/>
          <w:szCs w:val="32"/>
          <w:shd w:val="clear" w:color="auto" w:fill="FFFFFF"/>
        </w:rPr>
      </w:pPr>
      <w:r>
        <w:rPr>
          <w:rFonts w:hint="eastAsia" w:ascii="楷体_GB2312" w:hAnsi="楷体_GB2312" w:eastAsia="楷体_GB2312" w:cs="楷体_GB2312"/>
          <w:b/>
          <w:bCs/>
          <w:color w:val="333333"/>
          <w:sz w:val="32"/>
          <w:szCs w:val="32"/>
        </w:rPr>
        <w:t>（三）</w:t>
      </w:r>
      <w:r>
        <w:rPr>
          <w:rFonts w:hint="eastAsia" w:ascii="仿宋_GB2312" w:hAnsi="仿宋_GB2312" w:eastAsia="仿宋_GB2312" w:cs="仿宋_GB2312"/>
          <w:color w:val="333333"/>
          <w:sz w:val="32"/>
          <w:szCs w:val="32"/>
          <w:shd w:val="clear" w:color="auto" w:fill="FFFFFF"/>
        </w:rPr>
        <w:t>我单位无政府性基金预算和国有资本经营预算支出，本表无数据。</w:t>
      </w:r>
    </w:p>
    <w:p>
      <w:pPr>
        <w:pStyle w:val="7"/>
        <w:shd w:val="clear" w:color="auto" w:fill="FFFFFF"/>
        <w:spacing w:before="75" w:beforeAutospacing="0" w:after="75" w:afterAutospacing="0" w:line="450" w:lineRule="atLeast"/>
        <w:ind w:firstLine="643" w:firstLineChars="200"/>
        <w:rPr>
          <w:rFonts w:hint="eastAsia" w:ascii="楷体_GB2312" w:hAnsi="楷体_GB2312" w:eastAsia="楷体_GB2312" w:cs="楷体_GB2312"/>
          <w:b/>
          <w:bCs/>
          <w:color w:val="333333"/>
          <w:sz w:val="32"/>
          <w:szCs w:val="32"/>
        </w:rPr>
      </w:pPr>
      <w:r>
        <w:rPr>
          <w:rFonts w:hint="eastAsia" w:ascii="楷体_GB2312" w:hAnsi="楷体_GB2312" w:eastAsia="楷体_GB2312" w:cs="楷体_GB2312"/>
          <w:b/>
          <w:bCs/>
          <w:color w:val="333333"/>
          <w:sz w:val="32"/>
          <w:szCs w:val="32"/>
        </w:rPr>
        <w:t>（四）重点项目预算绩效目标和评价结果：</w:t>
      </w:r>
    </w:p>
    <w:p>
      <w:pPr>
        <w:pStyle w:val="7"/>
        <w:shd w:val="clear" w:color="auto" w:fill="FFFFFF"/>
        <w:spacing w:before="75" w:beforeAutospacing="0" w:after="75" w:afterAutospacing="0" w:line="450" w:lineRule="atLeast"/>
        <w:ind w:firstLine="480" w:firstLineChars="200"/>
        <w:rPr>
          <w:rFonts w:hint="eastAsia" w:ascii="楷体_GB2312" w:hAnsi="楷体_GB2312" w:eastAsia="楷体_GB2312" w:cs="楷体_GB2312"/>
          <w:b/>
          <w:bCs/>
          <w:color w:val="333333"/>
          <w:sz w:val="32"/>
          <w:szCs w:val="32"/>
        </w:rPr>
      </w:pPr>
      <w:r>
        <w:rPr>
          <w:rFonts w:hint="eastAsia"/>
        </w:rPr>
        <w:drawing>
          <wp:inline distT="0" distB="0" distL="0" distR="0">
            <wp:extent cx="5312410" cy="6821805"/>
            <wp:effectExtent l="0" t="0" r="635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312410" cy="6821805"/>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rPr>
          <w:rFonts w:hint="eastAsia" w:ascii="楷体_GB2312" w:hAnsi="楷体_GB2312" w:eastAsia="楷体_GB2312" w:cs="楷体_GB2312"/>
          <w:b/>
          <w:bCs/>
          <w:color w:val="333333"/>
          <w:sz w:val="32"/>
          <w:szCs w:val="32"/>
        </w:rPr>
      </w:pPr>
      <w:r>
        <w:rPr>
          <w:rFonts w:hint="eastAsia"/>
        </w:rPr>
        <w:drawing>
          <wp:inline distT="0" distB="0" distL="0" distR="0">
            <wp:extent cx="5533390" cy="6868795"/>
            <wp:effectExtent l="0" t="0" r="1397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533390" cy="6868795"/>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ind w:firstLine="643" w:firstLineChars="200"/>
        <w:rPr>
          <w:rFonts w:hint="eastAsia" w:ascii="楷体_GB2312" w:hAnsi="楷体_GB2312" w:eastAsia="楷体_GB2312" w:cs="楷体_GB2312"/>
          <w:b/>
          <w:bCs/>
          <w:color w:val="333333"/>
          <w:sz w:val="32"/>
          <w:szCs w:val="32"/>
        </w:rPr>
      </w:pPr>
    </w:p>
    <w:p>
      <w:pPr>
        <w:pStyle w:val="7"/>
        <w:shd w:val="clear" w:color="auto" w:fill="FFFFFF"/>
        <w:spacing w:before="75" w:beforeAutospacing="0" w:after="75" w:afterAutospacing="0" w:line="450" w:lineRule="atLeast"/>
        <w:rPr>
          <w:rFonts w:hint="eastAsia" w:ascii="楷体_GB2312" w:hAnsi="楷体_GB2312" w:eastAsia="楷体_GB2312" w:cs="楷体_GB2312"/>
          <w:b/>
          <w:bCs/>
          <w:color w:val="333333"/>
          <w:sz w:val="32"/>
          <w:szCs w:val="32"/>
        </w:rPr>
      </w:pPr>
    </w:p>
    <w:p>
      <w:pPr>
        <w:pStyle w:val="7"/>
        <w:shd w:val="clear" w:color="auto" w:fill="FFFFFF"/>
        <w:spacing w:before="75" w:beforeAutospacing="0" w:after="75" w:afterAutospacing="0" w:line="450" w:lineRule="atLeast"/>
        <w:rPr>
          <w:rFonts w:hint="eastAsia" w:ascii="楷体_GB2312" w:hAnsi="楷体_GB2312" w:eastAsia="楷体_GB2312" w:cs="楷体_GB2312"/>
          <w:b/>
          <w:bCs/>
          <w:color w:val="333333"/>
          <w:sz w:val="32"/>
          <w:szCs w:val="32"/>
        </w:rPr>
      </w:pPr>
      <w:r>
        <w:rPr>
          <w:rFonts w:hint="eastAsia"/>
        </w:rPr>
        <w:drawing>
          <wp:inline distT="0" distB="0" distL="0" distR="0">
            <wp:extent cx="5487670" cy="6549390"/>
            <wp:effectExtent l="0" t="0" r="1397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87670" cy="6549390"/>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ind w:firstLine="643" w:firstLineChars="200"/>
        <w:rPr>
          <w:rFonts w:hint="eastAsia" w:ascii="楷体_GB2312" w:hAnsi="楷体_GB2312" w:eastAsia="楷体_GB2312" w:cs="楷体_GB2312"/>
          <w:b/>
          <w:bCs/>
          <w:color w:val="333333"/>
          <w:sz w:val="32"/>
          <w:szCs w:val="32"/>
        </w:rPr>
      </w:pPr>
    </w:p>
    <w:p>
      <w:pPr>
        <w:pStyle w:val="7"/>
        <w:shd w:val="clear" w:color="auto" w:fill="FFFFFF"/>
        <w:spacing w:before="75" w:beforeAutospacing="0" w:after="75" w:afterAutospacing="0" w:line="450" w:lineRule="atLeast"/>
        <w:ind w:firstLine="643" w:firstLineChars="200"/>
        <w:rPr>
          <w:rFonts w:hint="eastAsia" w:ascii="楷体_GB2312" w:hAnsi="楷体_GB2312" w:eastAsia="楷体_GB2312" w:cs="楷体_GB2312"/>
          <w:b/>
          <w:bCs/>
          <w:color w:val="333333"/>
          <w:sz w:val="32"/>
          <w:szCs w:val="32"/>
        </w:rPr>
      </w:pPr>
    </w:p>
    <w:p>
      <w:pPr>
        <w:pStyle w:val="7"/>
        <w:shd w:val="clear" w:color="auto" w:fill="FFFFFF"/>
        <w:spacing w:before="75" w:beforeAutospacing="0" w:after="75" w:afterAutospacing="0" w:line="450" w:lineRule="atLeast"/>
        <w:rPr>
          <w:rFonts w:hint="eastAsia" w:ascii="楷体_GB2312" w:hAnsi="楷体_GB2312" w:eastAsia="楷体_GB2312" w:cs="楷体_GB2312"/>
          <w:b/>
          <w:bCs/>
          <w:color w:val="333333"/>
          <w:sz w:val="32"/>
          <w:szCs w:val="32"/>
        </w:rPr>
      </w:pPr>
    </w:p>
    <w:p>
      <w:pPr>
        <w:pStyle w:val="7"/>
        <w:shd w:val="clear" w:color="auto" w:fill="FFFFFF"/>
        <w:spacing w:before="75" w:beforeAutospacing="0" w:after="75" w:afterAutospacing="0" w:line="450" w:lineRule="atLeast"/>
        <w:rPr>
          <w:rFonts w:hint="eastAsia" w:ascii="楷体_GB2312" w:hAnsi="楷体_GB2312" w:eastAsia="楷体_GB2312" w:cs="楷体_GB2312"/>
          <w:b/>
          <w:bCs/>
          <w:color w:val="333333"/>
          <w:sz w:val="32"/>
          <w:szCs w:val="32"/>
        </w:rPr>
      </w:pPr>
      <w:r>
        <w:rPr>
          <w:rFonts w:hint="eastAsia"/>
        </w:rPr>
        <w:drawing>
          <wp:inline distT="0" distB="0" distL="0" distR="0">
            <wp:extent cx="5608955" cy="6657340"/>
            <wp:effectExtent l="0" t="0" r="14605"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608955" cy="6657340"/>
                    </a:xfrm>
                    <a:prstGeom prst="rect">
                      <a:avLst/>
                    </a:prstGeom>
                    <a:noFill/>
                    <a:ln>
                      <a:noFill/>
                    </a:ln>
                  </pic:spPr>
                </pic:pic>
              </a:graphicData>
            </a:graphic>
          </wp:inline>
        </w:drawing>
      </w:r>
    </w:p>
    <w:p>
      <w:pPr>
        <w:pStyle w:val="7"/>
        <w:shd w:val="clear" w:color="auto" w:fill="FFFFFF"/>
        <w:spacing w:before="75" w:beforeAutospacing="0" w:after="75" w:afterAutospacing="0" w:line="450" w:lineRule="atLeast"/>
        <w:ind w:firstLine="643" w:firstLineChars="200"/>
        <w:rPr>
          <w:rFonts w:hint="eastAsia" w:ascii="楷体_GB2312" w:hAnsi="楷体_GB2312" w:eastAsia="楷体_GB2312" w:cs="楷体_GB2312"/>
          <w:b/>
          <w:bCs/>
          <w:color w:val="333333"/>
          <w:sz w:val="32"/>
          <w:szCs w:val="32"/>
        </w:rPr>
      </w:pPr>
    </w:p>
    <w:p>
      <w:pPr>
        <w:pStyle w:val="7"/>
        <w:shd w:val="clear" w:color="auto" w:fill="FFFFFF"/>
        <w:spacing w:before="75" w:beforeAutospacing="0" w:after="75" w:afterAutospacing="0" w:line="450" w:lineRule="atLeast"/>
        <w:ind w:firstLine="643" w:firstLineChars="200"/>
        <w:rPr>
          <w:rFonts w:hint="eastAsia" w:ascii="楷体_GB2312" w:hAnsi="楷体_GB2312" w:eastAsia="楷体_GB2312" w:cs="楷体_GB2312"/>
          <w:b/>
          <w:bCs/>
          <w:color w:val="333333"/>
          <w:sz w:val="32"/>
          <w:szCs w:val="32"/>
        </w:rPr>
      </w:pPr>
    </w:p>
    <w:p>
      <w:pPr>
        <w:pStyle w:val="7"/>
        <w:shd w:val="clear" w:color="auto" w:fill="FFFFFF"/>
        <w:spacing w:before="75" w:beforeAutospacing="0" w:after="75" w:afterAutospacing="0" w:line="450" w:lineRule="atLeast"/>
        <w:ind w:firstLine="643" w:firstLineChars="200"/>
        <w:rPr>
          <w:rFonts w:hint="eastAsia" w:ascii="楷体_GB2312" w:hAnsi="楷体_GB2312" w:eastAsia="楷体_GB2312" w:cs="楷体_GB2312"/>
          <w:b/>
          <w:bCs/>
          <w:color w:val="333333"/>
          <w:sz w:val="32"/>
          <w:szCs w:val="32"/>
        </w:rPr>
      </w:pP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b/>
          <w:color w:val="333333"/>
          <w:sz w:val="32"/>
          <w:szCs w:val="32"/>
        </w:rPr>
      </w:pPr>
      <w:r>
        <w:rPr>
          <w:rStyle w:val="10"/>
          <w:rFonts w:hint="eastAsia" w:ascii="黑体" w:hAnsi="黑体" w:eastAsia="黑体" w:cs="黑体"/>
          <w:b w:val="0"/>
          <w:color w:val="333333"/>
          <w:sz w:val="32"/>
          <w:szCs w:val="32"/>
          <w:shd w:val="clear" w:color="auto" w:fill="FFFFFF"/>
        </w:rPr>
        <w:t>五、名词解释</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1、财政拨款收入：指本级财政当年拨款的资金。</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2、三公经费：指财政拨款支出安排的出国（境）费、车辆购置及运行费、公务接待费这三项经费。</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3、政府采购：指各级国家机关、事业单位和团体组织，使用财政性资金依法制定的集中采购目录以内的或者采购限额标准以上的货物、工程和服务的行为。</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4、结余分配：指事业单位按照会计制度规定缴纳的企业所得税、提取的专用结余以及转入非财政拨款结余的金额等。</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5、年末结转和结余：指单位按有关规定结转到下年或以后年度继续使用的资金，或项目已完成等产生的结余资金。</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6、基本支出：指为保障机构正常运转、完成日常工作任务而发生的人员支出和公用支出。</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7、项目支出：指在基本支出之外为完成特定行政任务或事业发展目标所发生的支出。</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8、经营支出：指事业单位在专业活动及辅助活动之外开展非独立核算经营活动发生的支出。</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三公”经费：纳入省级财政预决算管理的“三公”经费，是指省直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燃料费、维修费、过桥过路费、保险费、安全奖励费用等支出；公务接待费反映单位按规定开支的各类公务接待(含外宾接待)费用。</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10、机关运行经费：指为保障行政单位（包括参照公务员法管理的事业单位）运行用于购买货物和服务的各项资金，包括办公费、印刷费、邮电费、差旅费、 会议费、福利费、日常维修费、专用材料及一般设备购置费、办公用房水电费、办公用房取暖费、办公用房物业管理费、公务用车运行维护费以及其他费用。</w:t>
      </w:r>
    </w:p>
    <w:p>
      <w:pPr>
        <w:pStyle w:val="7"/>
        <w:shd w:val="clear" w:color="auto" w:fill="FFFFFF"/>
        <w:spacing w:before="75" w:beforeAutospacing="0" w:after="75" w:afterAutospacing="0" w:line="45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11、其他专用名词。</w:t>
      </w:r>
    </w:p>
    <w:p>
      <w:pPr>
        <w:pStyle w:val="7"/>
        <w:shd w:val="clear" w:color="auto" w:fill="FFFFFF"/>
        <w:spacing w:beforeAutospacing="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支持中小企业发展和管理支出：指反映用于中小企业管理及支出中小企业发展的支出。   </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663024"/>
    </w:sdtPr>
    <w:sdtContent>
      <w:sdt>
        <w:sdtPr>
          <w:id w:val="-1669238322"/>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NzdmMDFiYzFhMDBiOGRlYWZlYjQ2YTM1ODgyZWQifQ=="/>
    <w:docVar w:name="KSO_WPS_MARK_KEY" w:val="080e78fb-1e31-46a7-b71d-c9911b9f3135"/>
  </w:docVars>
  <w:rsids>
    <w:rsidRoot w:val="00172A27"/>
    <w:rsid w:val="00034C55"/>
    <w:rsid w:val="00034D01"/>
    <w:rsid w:val="00073BEC"/>
    <w:rsid w:val="000F5A44"/>
    <w:rsid w:val="001070B1"/>
    <w:rsid w:val="00172A27"/>
    <w:rsid w:val="001765A1"/>
    <w:rsid w:val="001B2552"/>
    <w:rsid w:val="001C1E9F"/>
    <w:rsid w:val="001F463F"/>
    <w:rsid w:val="00206DEA"/>
    <w:rsid w:val="002406FD"/>
    <w:rsid w:val="002B7B4F"/>
    <w:rsid w:val="002C6393"/>
    <w:rsid w:val="002C67B8"/>
    <w:rsid w:val="00306851"/>
    <w:rsid w:val="00311BAB"/>
    <w:rsid w:val="00315E4F"/>
    <w:rsid w:val="00335AD3"/>
    <w:rsid w:val="00341623"/>
    <w:rsid w:val="00365FB1"/>
    <w:rsid w:val="003B29EB"/>
    <w:rsid w:val="00431E9F"/>
    <w:rsid w:val="00452617"/>
    <w:rsid w:val="00463A4D"/>
    <w:rsid w:val="0047454E"/>
    <w:rsid w:val="00483CAC"/>
    <w:rsid w:val="00485249"/>
    <w:rsid w:val="004E7AE5"/>
    <w:rsid w:val="004F0952"/>
    <w:rsid w:val="004F5985"/>
    <w:rsid w:val="00506864"/>
    <w:rsid w:val="00507A77"/>
    <w:rsid w:val="005536CD"/>
    <w:rsid w:val="00555B70"/>
    <w:rsid w:val="0057765C"/>
    <w:rsid w:val="00595DFA"/>
    <w:rsid w:val="0059692D"/>
    <w:rsid w:val="006424E9"/>
    <w:rsid w:val="0065226E"/>
    <w:rsid w:val="006651EF"/>
    <w:rsid w:val="00676178"/>
    <w:rsid w:val="006A011E"/>
    <w:rsid w:val="006C3451"/>
    <w:rsid w:val="0073377C"/>
    <w:rsid w:val="00750EF7"/>
    <w:rsid w:val="00784283"/>
    <w:rsid w:val="007F0102"/>
    <w:rsid w:val="00890FE2"/>
    <w:rsid w:val="008A4B6B"/>
    <w:rsid w:val="008D0D5F"/>
    <w:rsid w:val="00930F19"/>
    <w:rsid w:val="00933027"/>
    <w:rsid w:val="0093360E"/>
    <w:rsid w:val="00990679"/>
    <w:rsid w:val="00B631F1"/>
    <w:rsid w:val="00B869C4"/>
    <w:rsid w:val="00BC1473"/>
    <w:rsid w:val="00BE49B0"/>
    <w:rsid w:val="00BF551F"/>
    <w:rsid w:val="00C46F28"/>
    <w:rsid w:val="00C60F66"/>
    <w:rsid w:val="00C80897"/>
    <w:rsid w:val="00C86188"/>
    <w:rsid w:val="00D53520"/>
    <w:rsid w:val="00D9012C"/>
    <w:rsid w:val="00DB3015"/>
    <w:rsid w:val="00E24BEE"/>
    <w:rsid w:val="00E40AD8"/>
    <w:rsid w:val="00E47F7B"/>
    <w:rsid w:val="00E566FE"/>
    <w:rsid w:val="00EC442B"/>
    <w:rsid w:val="00F565C4"/>
    <w:rsid w:val="00F73407"/>
    <w:rsid w:val="00F763C3"/>
    <w:rsid w:val="00F82295"/>
    <w:rsid w:val="00F8331D"/>
    <w:rsid w:val="00FA0BC5"/>
    <w:rsid w:val="00FE4A1A"/>
    <w:rsid w:val="019D6496"/>
    <w:rsid w:val="025832D3"/>
    <w:rsid w:val="07F27D26"/>
    <w:rsid w:val="09265ED9"/>
    <w:rsid w:val="09DA0683"/>
    <w:rsid w:val="0A0B269C"/>
    <w:rsid w:val="0B7218AA"/>
    <w:rsid w:val="0C72611A"/>
    <w:rsid w:val="0CD45C4C"/>
    <w:rsid w:val="0F116BC9"/>
    <w:rsid w:val="0FA61B22"/>
    <w:rsid w:val="0FB50860"/>
    <w:rsid w:val="10C06C14"/>
    <w:rsid w:val="118F65E6"/>
    <w:rsid w:val="11D9433B"/>
    <w:rsid w:val="12096398"/>
    <w:rsid w:val="120E1C01"/>
    <w:rsid w:val="122D2087"/>
    <w:rsid w:val="1257411B"/>
    <w:rsid w:val="12D469A6"/>
    <w:rsid w:val="142C5541"/>
    <w:rsid w:val="14744F91"/>
    <w:rsid w:val="147C5547"/>
    <w:rsid w:val="15B50D11"/>
    <w:rsid w:val="16880EE4"/>
    <w:rsid w:val="170775C7"/>
    <w:rsid w:val="175005C5"/>
    <w:rsid w:val="177B0E6C"/>
    <w:rsid w:val="179671C9"/>
    <w:rsid w:val="182F2513"/>
    <w:rsid w:val="196F055E"/>
    <w:rsid w:val="19727C40"/>
    <w:rsid w:val="19D17449"/>
    <w:rsid w:val="1A4D119B"/>
    <w:rsid w:val="1A770F0A"/>
    <w:rsid w:val="1B5763C6"/>
    <w:rsid w:val="1C5D5C5E"/>
    <w:rsid w:val="1CDD5AAF"/>
    <w:rsid w:val="1CFE4ED5"/>
    <w:rsid w:val="1CFFACE6"/>
    <w:rsid w:val="1DF83E91"/>
    <w:rsid w:val="1E5B441F"/>
    <w:rsid w:val="1E9D174B"/>
    <w:rsid w:val="1EF936E0"/>
    <w:rsid w:val="1FEAA09E"/>
    <w:rsid w:val="200A62D3"/>
    <w:rsid w:val="20124FB2"/>
    <w:rsid w:val="218D48F0"/>
    <w:rsid w:val="21CE6CB6"/>
    <w:rsid w:val="24376D95"/>
    <w:rsid w:val="24EA02AB"/>
    <w:rsid w:val="25627E42"/>
    <w:rsid w:val="25BF3745"/>
    <w:rsid w:val="25FA5EE8"/>
    <w:rsid w:val="261C26E6"/>
    <w:rsid w:val="26437C73"/>
    <w:rsid w:val="26944609"/>
    <w:rsid w:val="27007912"/>
    <w:rsid w:val="272950BB"/>
    <w:rsid w:val="27ED092F"/>
    <w:rsid w:val="28125B4F"/>
    <w:rsid w:val="289C7B0E"/>
    <w:rsid w:val="2B3738CA"/>
    <w:rsid w:val="2B621401"/>
    <w:rsid w:val="2BCC5554"/>
    <w:rsid w:val="2C4D184B"/>
    <w:rsid w:val="2C640943"/>
    <w:rsid w:val="2C792640"/>
    <w:rsid w:val="2DE0224B"/>
    <w:rsid w:val="2EBE07DF"/>
    <w:rsid w:val="2F875074"/>
    <w:rsid w:val="2FA5207B"/>
    <w:rsid w:val="2FF7387C"/>
    <w:rsid w:val="303C6197"/>
    <w:rsid w:val="30CA2057"/>
    <w:rsid w:val="30DA5678"/>
    <w:rsid w:val="31A42AD3"/>
    <w:rsid w:val="31C14142"/>
    <w:rsid w:val="34225316"/>
    <w:rsid w:val="3449228E"/>
    <w:rsid w:val="345E3FB5"/>
    <w:rsid w:val="357D4B10"/>
    <w:rsid w:val="35ED6D25"/>
    <w:rsid w:val="3627656B"/>
    <w:rsid w:val="36533F02"/>
    <w:rsid w:val="367833DA"/>
    <w:rsid w:val="3681599D"/>
    <w:rsid w:val="36FB179F"/>
    <w:rsid w:val="374A0C53"/>
    <w:rsid w:val="376161AB"/>
    <w:rsid w:val="37EFC18E"/>
    <w:rsid w:val="3808702B"/>
    <w:rsid w:val="38E52E0C"/>
    <w:rsid w:val="39475874"/>
    <w:rsid w:val="398E6FFF"/>
    <w:rsid w:val="399B34CA"/>
    <w:rsid w:val="3B19353B"/>
    <w:rsid w:val="3CBC2981"/>
    <w:rsid w:val="3CEA1A40"/>
    <w:rsid w:val="3D424389"/>
    <w:rsid w:val="3D5F222C"/>
    <w:rsid w:val="3D6B0FB8"/>
    <w:rsid w:val="3D9D42FB"/>
    <w:rsid w:val="3E1F0B6E"/>
    <w:rsid w:val="3E2D5039"/>
    <w:rsid w:val="3EBB4BE0"/>
    <w:rsid w:val="3FC00FB1"/>
    <w:rsid w:val="41FB4946"/>
    <w:rsid w:val="4210258D"/>
    <w:rsid w:val="43122A4F"/>
    <w:rsid w:val="436200D0"/>
    <w:rsid w:val="448C6E09"/>
    <w:rsid w:val="44906757"/>
    <w:rsid w:val="45345945"/>
    <w:rsid w:val="45A218CA"/>
    <w:rsid w:val="45A37482"/>
    <w:rsid w:val="468549FA"/>
    <w:rsid w:val="46B61944"/>
    <w:rsid w:val="46F506BE"/>
    <w:rsid w:val="47081961"/>
    <w:rsid w:val="47E46FFA"/>
    <w:rsid w:val="4AB32069"/>
    <w:rsid w:val="4B4B2FA2"/>
    <w:rsid w:val="4B5A7E08"/>
    <w:rsid w:val="4B8B15F1"/>
    <w:rsid w:val="4CD13CB6"/>
    <w:rsid w:val="4D814A59"/>
    <w:rsid w:val="4DCF0108"/>
    <w:rsid w:val="4EC846C6"/>
    <w:rsid w:val="4F29313A"/>
    <w:rsid w:val="4F6028CE"/>
    <w:rsid w:val="4FE83608"/>
    <w:rsid w:val="503E1728"/>
    <w:rsid w:val="50BB320C"/>
    <w:rsid w:val="511C37C3"/>
    <w:rsid w:val="514A7858"/>
    <w:rsid w:val="51822890"/>
    <w:rsid w:val="523A443F"/>
    <w:rsid w:val="535E70D9"/>
    <w:rsid w:val="536F7A4A"/>
    <w:rsid w:val="54F14BBA"/>
    <w:rsid w:val="56A76274"/>
    <w:rsid w:val="570760E5"/>
    <w:rsid w:val="575C634C"/>
    <w:rsid w:val="577839AC"/>
    <w:rsid w:val="57FBD195"/>
    <w:rsid w:val="59534C92"/>
    <w:rsid w:val="5ABF4E13"/>
    <w:rsid w:val="5AE74E5C"/>
    <w:rsid w:val="5C7D3833"/>
    <w:rsid w:val="5CED3EB9"/>
    <w:rsid w:val="5D99194B"/>
    <w:rsid w:val="5DB04EE7"/>
    <w:rsid w:val="5DDD5D1A"/>
    <w:rsid w:val="5EEB4428"/>
    <w:rsid w:val="61017C3D"/>
    <w:rsid w:val="61E82EA1"/>
    <w:rsid w:val="63C82F8A"/>
    <w:rsid w:val="6449399F"/>
    <w:rsid w:val="64936B82"/>
    <w:rsid w:val="65E11907"/>
    <w:rsid w:val="66320B8F"/>
    <w:rsid w:val="66553FB9"/>
    <w:rsid w:val="66E42811"/>
    <w:rsid w:val="67D7060D"/>
    <w:rsid w:val="68D84F79"/>
    <w:rsid w:val="68E94868"/>
    <w:rsid w:val="6B4D3AD1"/>
    <w:rsid w:val="6C134FBF"/>
    <w:rsid w:val="6C586E75"/>
    <w:rsid w:val="6CF76396"/>
    <w:rsid w:val="6D1A412B"/>
    <w:rsid w:val="6D5F4CD6"/>
    <w:rsid w:val="6D7101EF"/>
    <w:rsid w:val="712D4E9E"/>
    <w:rsid w:val="727B38BE"/>
    <w:rsid w:val="72DD6326"/>
    <w:rsid w:val="738467A2"/>
    <w:rsid w:val="75C4732A"/>
    <w:rsid w:val="77882D05"/>
    <w:rsid w:val="77C96E79"/>
    <w:rsid w:val="78054355"/>
    <w:rsid w:val="784C051B"/>
    <w:rsid w:val="78AF606F"/>
    <w:rsid w:val="78BA42AC"/>
    <w:rsid w:val="78F50FA3"/>
    <w:rsid w:val="795409C4"/>
    <w:rsid w:val="7A7F8E0E"/>
    <w:rsid w:val="7BCE4A5E"/>
    <w:rsid w:val="7C8E608F"/>
    <w:rsid w:val="7CBC4987"/>
    <w:rsid w:val="7D11554A"/>
    <w:rsid w:val="7E4159BB"/>
    <w:rsid w:val="7E927FC5"/>
    <w:rsid w:val="7EA329F3"/>
    <w:rsid w:val="7EF53679"/>
    <w:rsid w:val="7F7F1D1B"/>
    <w:rsid w:val="7FFDF92F"/>
    <w:rsid w:val="7FFEDA90"/>
    <w:rsid w:val="ABBFF490"/>
    <w:rsid w:val="BDEF0283"/>
    <w:rsid w:val="BF3A849F"/>
    <w:rsid w:val="DC7F2034"/>
    <w:rsid w:val="E5EF78A8"/>
    <w:rsid w:val="ECE7717F"/>
    <w:rsid w:val="ED7F1B47"/>
    <w:rsid w:val="EFBC6B40"/>
    <w:rsid w:val="EFFCF7DE"/>
    <w:rsid w:val="EFFEB6C0"/>
    <w:rsid w:val="F3F3F292"/>
    <w:rsid w:val="F4BFB83E"/>
    <w:rsid w:val="F7B1A68D"/>
    <w:rsid w:val="F7DC9E8D"/>
    <w:rsid w:val="FBD7F6A6"/>
    <w:rsid w:val="FBFFA38C"/>
    <w:rsid w:val="FCEFAE06"/>
    <w:rsid w:val="FEDFDC97"/>
    <w:rsid w:val="FF7B5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after="120"/>
    </w:pPr>
    <w:rPr>
      <w:rFonts w:ascii="Calibri" w:hAnsi="Calibri"/>
    </w:rPr>
  </w:style>
  <w:style w:type="paragraph" w:customStyle="1" w:styleId="3">
    <w:name w:val="BodyText2"/>
    <w:basedOn w:val="1"/>
    <w:qFormat/>
    <w:uiPriority w:val="0"/>
    <w:pPr>
      <w:spacing w:after="120" w:line="480" w:lineRule="auto"/>
    </w:pPr>
    <w:rPr>
      <w:rFonts w:ascii="Calibri" w:hAnsi="Calibri"/>
    </w:r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character" w:styleId="10">
    <w:name w:val="Strong"/>
    <w:basedOn w:val="9"/>
    <w:qFormat/>
    <w:uiPriority w:val="0"/>
    <w:rPr>
      <w:b/>
      <w:bCs/>
    </w:rPr>
  </w:style>
  <w:style w:type="character" w:styleId="11">
    <w:name w:val="Hyperlink"/>
    <w:qFormat/>
    <w:uiPriority w:val="0"/>
    <w:rPr>
      <w:color w:val="0000FF"/>
      <w:u w:val="single"/>
    </w:rPr>
  </w:style>
  <w:style w:type="character" w:customStyle="1" w:styleId="12">
    <w:name w:val="apple-converted-space"/>
    <w:basedOn w:val="9"/>
    <w:qFormat/>
    <w:uiPriority w:val="0"/>
  </w:style>
  <w:style w:type="character" w:customStyle="1" w:styleId="13">
    <w:name w:val="页眉 Char"/>
    <w:basedOn w:val="9"/>
    <w:link w:val="6"/>
    <w:qFormat/>
    <w:uiPriority w:val="0"/>
    <w:rPr>
      <w:kern w:val="2"/>
      <w:sz w:val="18"/>
      <w:szCs w:val="18"/>
    </w:rPr>
  </w:style>
  <w:style w:type="character" w:customStyle="1" w:styleId="14">
    <w:name w:val="页脚 Char"/>
    <w:basedOn w:val="9"/>
    <w:link w:val="5"/>
    <w:qFormat/>
    <w:uiPriority w:val="99"/>
    <w:rPr>
      <w:kern w:val="2"/>
      <w:sz w:val="18"/>
      <w:szCs w:val="18"/>
    </w:rPr>
  </w:style>
  <w:style w:type="character" w:customStyle="1" w:styleId="15">
    <w:name w:val="批注框文本 Char"/>
    <w:basedOn w:val="9"/>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5.emf"/><Relationship Id="rId18" Type="http://schemas.openxmlformats.org/officeDocument/2006/relationships/image" Target="media/image14.emf"/><Relationship Id="rId17" Type="http://schemas.openxmlformats.org/officeDocument/2006/relationships/image" Target="media/image13.emf"/><Relationship Id="rId16" Type="http://schemas.openxmlformats.org/officeDocument/2006/relationships/image" Target="media/image12.emf"/><Relationship Id="rId15" Type="http://schemas.openxmlformats.org/officeDocument/2006/relationships/image" Target="media/image11.emf"/><Relationship Id="rId14" Type="http://schemas.openxmlformats.org/officeDocument/2006/relationships/image" Target="media/image10.emf"/><Relationship Id="rId13" Type="http://schemas.openxmlformats.org/officeDocument/2006/relationships/image" Target="media/image9.emf"/><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3628</Words>
  <Characters>4004</Characters>
  <Lines>31</Lines>
  <Paragraphs>8</Paragraphs>
  <TotalTime>321</TotalTime>
  <ScaleCrop>false</ScaleCrop>
  <LinksUpToDate>false</LinksUpToDate>
  <CharactersWithSpaces>4017</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2017-12-28T23:15:00Z</dcterms:created>
  <dc:creator>左手倒影，右手年华</dc:creator>
  <cp:lastModifiedBy>明月红莲</cp:lastModifiedBy>
  <cp:lastPrinted>2025-01-20T07:13:00Z</cp:lastPrinted>
  <dcterms:modified xsi:type="dcterms:W3CDTF">2025-01-22T06:26:17Z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A22E2F24491D435799708FBFACFBA6E9_13</vt:lpwstr>
  </property>
  <property fmtid="{D5CDD505-2E9C-101B-9397-08002B2CF9AE}" pid="4" name="KSOTemplateDocerSaveRecord">
    <vt:lpwstr>eyJoZGlkIjoiOTc3M2Y5NzIzMDFlZjAyY2Q4Njk5ODkyYjFjNzBiNTQiLCJ1c2VySWQiOiI3MzEwODUzODUifQ==</vt:lpwstr>
  </property>
</Properties>
</file>